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54E" w:rsidRDefault="002C154E" w:rsidP="002C154E">
      <w:pPr>
        <w:jc w:val="center"/>
        <w:rPr>
          <w:rFonts w:ascii="宋体" w:hAnsi="宋体"/>
          <w:b/>
          <w:color w:val="FF0000"/>
          <w:spacing w:val="150"/>
          <w:sz w:val="72"/>
          <w:szCs w:val="72"/>
        </w:rPr>
      </w:pPr>
      <w:r>
        <w:rPr>
          <w:rFonts w:ascii="宋体" w:hAnsi="宋体" w:hint="eastAsia"/>
          <w:b/>
          <w:color w:val="FF0000"/>
          <w:spacing w:val="150"/>
          <w:sz w:val="72"/>
          <w:szCs w:val="72"/>
        </w:rPr>
        <w:t>江苏省进出口商会</w:t>
      </w:r>
    </w:p>
    <w:p w:rsidR="002C154E" w:rsidRDefault="00D40D55" w:rsidP="002C154E">
      <w:pPr>
        <w:rPr>
          <w:sz w:val="28"/>
          <w:szCs w:val="28"/>
        </w:rPr>
      </w:pPr>
      <w:r>
        <w:rPr>
          <w:sz w:val="28"/>
          <w:szCs w:val="28"/>
        </w:rPr>
        <w:pict>
          <v:line id="Line 4" o:spid="_x0000_s1027" style="position:absolute;left:0;text-align:left;z-index:251660288" from="0,15.6pt" to="404pt,15.6pt" strokecolor="#f20000" strokeweight="2pt"/>
        </w:pict>
      </w:r>
    </w:p>
    <w:p w:rsidR="00A007AA" w:rsidRPr="001157F6" w:rsidRDefault="00A007AA" w:rsidP="00C17FB7">
      <w:pPr>
        <w:jc w:val="center"/>
        <w:rPr>
          <w:rFonts w:asciiTheme="majorEastAsia" w:eastAsiaTheme="majorEastAsia" w:hAnsiTheme="majorEastAsia"/>
          <w:b/>
          <w:sz w:val="44"/>
          <w:szCs w:val="44"/>
        </w:rPr>
      </w:pPr>
      <w:r w:rsidRPr="001157F6">
        <w:rPr>
          <w:rFonts w:asciiTheme="majorEastAsia" w:eastAsiaTheme="majorEastAsia" w:hAnsiTheme="majorEastAsia" w:hint="eastAsia"/>
          <w:b/>
          <w:sz w:val="44"/>
          <w:szCs w:val="44"/>
        </w:rPr>
        <w:t>关于举办</w:t>
      </w:r>
      <w:r w:rsidR="00331DE1" w:rsidRPr="001157F6">
        <w:rPr>
          <w:rFonts w:asciiTheme="majorEastAsia" w:eastAsiaTheme="majorEastAsia" w:hAnsiTheme="majorEastAsia" w:hint="eastAsia"/>
          <w:b/>
          <w:sz w:val="44"/>
          <w:szCs w:val="44"/>
        </w:rPr>
        <w:t>《国内信用证结算办法》</w:t>
      </w:r>
    </w:p>
    <w:p w:rsidR="00B775DA" w:rsidRPr="001157F6" w:rsidRDefault="006247B4" w:rsidP="00C17FB7">
      <w:pPr>
        <w:jc w:val="center"/>
        <w:rPr>
          <w:rFonts w:asciiTheme="majorEastAsia" w:eastAsiaTheme="majorEastAsia" w:hAnsiTheme="majorEastAsia"/>
          <w:b/>
          <w:sz w:val="44"/>
          <w:szCs w:val="44"/>
        </w:rPr>
      </w:pPr>
      <w:r w:rsidRPr="001157F6">
        <w:rPr>
          <w:rFonts w:asciiTheme="majorEastAsia" w:eastAsiaTheme="majorEastAsia" w:hAnsiTheme="majorEastAsia" w:hint="eastAsia"/>
          <w:b/>
          <w:sz w:val="44"/>
          <w:szCs w:val="44"/>
        </w:rPr>
        <w:t>最新</w:t>
      </w:r>
      <w:r w:rsidR="00331DE1" w:rsidRPr="001157F6">
        <w:rPr>
          <w:rFonts w:asciiTheme="majorEastAsia" w:eastAsiaTheme="majorEastAsia" w:hAnsiTheme="majorEastAsia" w:hint="eastAsia"/>
          <w:b/>
          <w:sz w:val="44"/>
          <w:szCs w:val="44"/>
        </w:rPr>
        <w:t>解读培训</w:t>
      </w:r>
      <w:r w:rsidR="00A007AA" w:rsidRPr="001157F6">
        <w:rPr>
          <w:rFonts w:asciiTheme="majorEastAsia" w:eastAsiaTheme="majorEastAsia" w:hAnsiTheme="majorEastAsia" w:hint="eastAsia"/>
          <w:b/>
          <w:sz w:val="44"/>
          <w:szCs w:val="44"/>
        </w:rPr>
        <w:t>班的通知</w:t>
      </w:r>
    </w:p>
    <w:p w:rsidR="00331DE1" w:rsidRDefault="00331DE1" w:rsidP="001157F6">
      <w:pPr>
        <w:rPr>
          <w:rFonts w:ascii="仿宋" w:eastAsia="仿宋" w:hAnsi="仿宋"/>
          <w:sz w:val="32"/>
          <w:szCs w:val="32"/>
        </w:rPr>
      </w:pPr>
    </w:p>
    <w:p w:rsidR="00A007AA" w:rsidRPr="00A007AA" w:rsidRDefault="00A007AA" w:rsidP="001157F6">
      <w:pPr>
        <w:rPr>
          <w:rFonts w:ascii="仿宋" w:eastAsia="仿宋" w:hAnsi="仿宋"/>
          <w:sz w:val="32"/>
          <w:szCs w:val="32"/>
        </w:rPr>
      </w:pPr>
      <w:r>
        <w:rPr>
          <w:rFonts w:ascii="仿宋" w:eastAsia="仿宋" w:hAnsi="仿宋" w:hint="eastAsia"/>
          <w:sz w:val="32"/>
          <w:szCs w:val="32"/>
        </w:rPr>
        <w:t>各会员企业：</w:t>
      </w:r>
    </w:p>
    <w:p w:rsidR="00331DE1" w:rsidRPr="00C17FB7" w:rsidRDefault="00C17FB7" w:rsidP="001157F6">
      <w:pPr>
        <w:rPr>
          <w:rFonts w:ascii="仿宋" w:eastAsia="仿宋" w:hAnsi="仿宋"/>
          <w:sz w:val="32"/>
          <w:szCs w:val="32"/>
        </w:rPr>
      </w:pPr>
      <w:r>
        <w:rPr>
          <w:rFonts w:ascii="仿宋" w:eastAsia="仿宋" w:hAnsi="仿宋" w:hint="eastAsia"/>
          <w:sz w:val="32"/>
          <w:szCs w:val="32"/>
        </w:rPr>
        <w:t xml:space="preserve">    </w:t>
      </w:r>
      <w:r w:rsidR="00331DE1" w:rsidRPr="00C17FB7">
        <w:rPr>
          <w:rFonts w:ascii="仿宋" w:eastAsia="仿宋" w:hAnsi="仿宋" w:hint="eastAsia"/>
          <w:sz w:val="32"/>
          <w:szCs w:val="32"/>
        </w:rPr>
        <w:t>中国人民银行、中国银监会于2016年5月6日官网发布了几经修订的《国内信用证结算办法》，该办法将于2016年10月8日起实施。为了帮助会员企业</w:t>
      </w:r>
      <w:r w:rsidRPr="00C17FB7">
        <w:rPr>
          <w:rFonts w:ascii="仿宋" w:eastAsia="仿宋" w:hAnsi="仿宋" w:hint="eastAsia"/>
          <w:sz w:val="32"/>
          <w:szCs w:val="32"/>
        </w:rPr>
        <w:t>了解新政策，稳健地开展国内信用证业务，</w:t>
      </w:r>
      <w:r w:rsidR="006247B4">
        <w:rPr>
          <w:rFonts w:ascii="仿宋" w:eastAsia="仿宋" w:hAnsi="仿宋" w:hint="eastAsia"/>
          <w:sz w:val="32"/>
          <w:szCs w:val="32"/>
        </w:rPr>
        <w:t>商会</w:t>
      </w:r>
      <w:r w:rsidRPr="00C17FB7">
        <w:rPr>
          <w:rFonts w:ascii="仿宋" w:eastAsia="仿宋" w:hAnsi="仿宋" w:hint="eastAsia"/>
          <w:sz w:val="32"/>
          <w:szCs w:val="32"/>
        </w:rPr>
        <w:t>拟定6月中旬开展《国内信用证结算办法》解读培训班。</w:t>
      </w:r>
    </w:p>
    <w:p w:rsidR="00C17FB7" w:rsidRPr="00C17FB7" w:rsidRDefault="00C17FB7" w:rsidP="001157F6">
      <w:pPr>
        <w:rPr>
          <w:rFonts w:ascii="仿宋" w:eastAsia="仿宋" w:hAnsi="仿宋"/>
          <w:b/>
          <w:sz w:val="32"/>
          <w:szCs w:val="32"/>
        </w:rPr>
      </w:pPr>
      <w:r w:rsidRPr="00C17FB7">
        <w:rPr>
          <w:rFonts w:ascii="仿宋" w:eastAsia="仿宋" w:hAnsi="仿宋" w:hint="eastAsia"/>
          <w:b/>
          <w:sz w:val="32"/>
          <w:szCs w:val="32"/>
        </w:rPr>
        <w:t xml:space="preserve">    一、培训内容</w:t>
      </w:r>
      <w:r w:rsidR="00A007AA">
        <w:rPr>
          <w:rFonts w:ascii="仿宋" w:eastAsia="仿宋" w:hAnsi="仿宋" w:hint="eastAsia"/>
          <w:b/>
          <w:sz w:val="32"/>
          <w:szCs w:val="32"/>
        </w:rPr>
        <w:t>：</w:t>
      </w:r>
    </w:p>
    <w:p w:rsidR="00C17FB7" w:rsidRDefault="00C17FB7" w:rsidP="001157F6">
      <w:pPr>
        <w:rPr>
          <w:rFonts w:ascii="仿宋" w:eastAsia="仿宋" w:hAnsi="仿宋"/>
          <w:sz w:val="32"/>
          <w:szCs w:val="32"/>
        </w:rPr>
      </w:pPr>
      <w:r>
        <w:rPr>
          <w:rFonts w:ascii="仿宋" w:eastAsia="仿宋" w:hAnsi="仿宋" w:hint="eastAsia"/>
          <w:sz w:val="32"/>
          <w:szCs w:val="32"/>
        </w:rPr>
        <w:t xml:space="preserve">    1、</w:t>
      </w:r>
      <w:r w:rsidR="00A007AA" w:rsidRPr="00C17FB7">
        <w:rPr>
          <w:rFonts w:ascii="仿宋" w:eastAsia="仿宋" w:hAnsi="仿宋" w:hint="eastAsia"/>
          <w:sz w:val="32"/>
          <w:szCs w:val="32"/>
        </w:rPr>
        <w:t>《国内信用证结算办法》</w:t>
      </w:r>
      <w:r w:rsidR="00A007AA">
        <w:rPr>
          <w:rFonts w:ascii="仿宋" w:eastAsia="仿宋" w:hAnsi="仿宋" w:hint="eastAsia"/>
          <w:sz w:val="32"/>
          <w:szCs w:val="32"/>
        </w:rPr>
        <w:t>解读；</w:t>
      </w:r>
    </w:p>
    <w:p w:rsidR="00C17FB7" w:rsidRDefault="00C17FB7" w:rsidP="001157F6">
      <w:pPr>
        <w:rPr>
          <w:rFonts w:ascii="仿宋" w:eastAsia="仿宋" w:hAnsi="仿宋"/>
          <w:sz w:val="32"/>
          <w:szCs w:val="32"/>
        </w:rPr>
      </w:pPr>
      <w:r>
        <w:rPr>
          <w:rFonts w:ascii="仿宋" w:eastAsia="仿宋" w:hAnsi="仿宋" w:hint="eastAsia"/>
          <w:sz w:val="32"/>
          <w:szCs w:val="32"/>
        </w:rPr>
        <w:t xml:space="preserve">    2、新旧国内信用证管理办法之比较</w:t>
      </w:r>
      <w:r w:rsidR="00A007AA">
        <w:rPr>
          <w:rFonts w:ascii="仿宋" w:eastAsia="仿宋" w:hAnsi="仿宋" w:hint="eastAsia"/>
          <w:sz w:val="32"/>
          <w:szCs w:val="32"/>
        </w:rPr>
        <w:t>；</w:t>
      </w:r>
    </w:p>
    <w:p w:rsidR="00C17FB7" w:rsidRDefault="00C17FB7" w:rsidP="001157F6">
      <w:pPr>
        <w:rPr>
          <w:rFonts w:ascii="仿宋" w:eastAsia="仿宋" w:hAnsi="仿宋"/>
          <w:sz w:val="32"/>
          <w:szCs w:val="32"/>
        </w:rPr>
      </w:pPr>
      <w:r>
        <w:rPr>
          <w:rFonts w:ascii="仿宋" w:eastAsia="仿宋" w:hAnsi="仿宋" w:hint="eastAsia"/>
          <w:sz w:val="32"/>
          <w:szCs w:val="32"/>
        </w:rPr>
        <w:t xml:space="preserve">    3、</w:t>
      </w:r>
      <w:r w:rsidR="00A007AA">
        <w:rPr>
          <w:rFonts w:ascii="仿宋" w:eastAsia="仿宋" w:hAnsi="仿宋" w:hint="eastAsia"/>
          <w:sz w:val="32"/>
          <w:szCs w:val="32"/>
        </w:rPr>
        <w:t>近期中行服务企业的新举措。</w:t>
      </w:r>
    </w:p>
    <w:p w:rsidR="00C17FB7" w:rsidRPr="00C17FB7" w:rsidRDefault="00C17FB7" w:rsidP="001157F6">
      <w:pPr>
        <w:rPr>
          <w:rFonts w:ascii="仿宋" w:eastAsia="仿宋" w:hAnsi="仿宋"/>
          <w:b/>
          <w:sz w:val="32"/>
          <w:szCs w:val="32"/>
        </w:rPr>
      </w:pPr>
      <w:r w:rsidRPr="00C17FB7">
        <w:rPr>
          <w:rFonts w:ascii="仿宋" w:eastAsia="仿宋" w:hAnsi="仿宋" w:hint="eastAsia"/>
          <w:b/>
          <w:sz w:val="32"/>
          <w:szCs w:val="32"/>
        </w:rPr>
        <w:t xml:space="preserve">    二、培训时间、地点：</w:t>
      </w:r>
    </w:p>
    <w:p w:rsidR="00C17FB7" w:rsidRDefault="00C17FB7" w:rsidP="001157F6">
      <w:pPr>
        <w:rPr>
          <w:rFonts w:ascii="仿宋" w:eastAsia="仿宋" w:hAnsi="仿宋"/>
          <w:sz w:val="32"/>
          <w:szCs w:val="32"/>
        </w:rPr>
      </w:pPr>
      <w:r>
        <w:rPr>
          <w:rFonts w:ascii="仿宋" w:eastAsia="仿宋" w:hAnsi="仿宋" w:hint="eastAsia"/>
          <w:sz w:val="32"/>
          <w:szCs w:val="32"/>
        </w:rPr>
        <w:t xml:space="preserve">    培训时间：2016年6月</w:t>
      </w:r>
      <w:r w:rsidR="00A007AA">
        <w:rPr>
          <w:rFonts w:ascii="仿宋" w:eastAsia="仿宋" w:hAnsi="仿宋" w:hint="eastAsia"/>
          <w:sz w:val="32"/>
          <w:szCs w:val="32"/>
        </w:rPr>
        <w:t>17日下午2：00</w:t>
      </w:r>
      <w:r>
        <w:rPr>
          <w:rFonts w:ascii="仿宋" w:eastAsia="仿宋" w:hAnsi="仿宋" w:hint="eastAsia"/>
          <w:sz w:val="32"/>
          <w:szCs w:val="32"/>
        </w:rPr>
        <w:t>，时间半天。</w:t>
      </w:r>
    </w:p>
    <w:p w:rsidR="00C17FB7" w:rsidRDefault="00C17FB7" w:rsidP="001157F6">
      <w:pPr>
        <w:rPr>
          <w:rFonts w:ascii="仿宋" w:eastAsia="仿宋" w:hAnsi="仿宋"/>
          <w:sz w:val="32"/>
          <w:szCs w:val="32"/>
        </w:rPr>
      </w:pPr>
      <w:r>
        <w:rPr>
          <w:rFonts w:ascii="仿宋" w:eastAsia="仿宋" w:hAnsi="仿宋" w:hint="eastAsia"/>
          <w:sz w:val="32"/>
          <w:szCs w:val="32"/>
        </w:rPr>
        <w:t xml:space="preserve">    培训地点：</w:t>
      </w:r>
      <w:r w:rsidR="001157F6">
        <w:rPr>
          <w:rFonts w:ascii="仿宋" w:eastAsia="仿宋" w:hAnsi="仿宋" w:hint="eastAsia"/>
          <w:sz w:val="32"/>
          <w:szCs w:val="32"/>
        </w:rPr>
        <w:t>南京市</w:t>
      </w:r>
      <w:r>
        <w:rPr>
          <w:rFonts w:ascii="仿宋" w:eastAsia="仿宋" w:hAnsi="仿宋" w:hint="eastAsia"/>
          <w:sz w:val="32"/>
          <w:szCs w:val="32"/>
        </w:rPr>
        <w:t>中华路50号</w:t>
      </w:r>
      <w:r w:rsidR="00CB70B6">
        <w:rPr>
          <w:rFonts w:ascii="仿宋" w:eastAsia="仿宋" w:hAnsi="仿宋" w:hint="eastAsia"/>
          <w:sz w:val="32"/>
          <w:szCs w:val="32"/>
        </w:rPr>
        <w:t>国贸大厦</w:t>
      </w:r>
      <w:r w:rsidR="002A50ED">
        <w:rPr>
          <w:rFonts w:ascii="仿宋" w:eastAsia="仿宋" w:hAnsi="仿宋" w:hint="eastAsia"/>
          <w:sz w:val="32"/>
          <w:szCs w:val="32"/>
        </w:rPr>
        <w:t>21</w:t>
      </w:r>
      <w:r>
        <w:rPr>
          <w:rFonts w:ascii="仿宋" w:eastAsia="仿宋" w:hAnsi="仿宋" w:hint="eastAsia"/>
          <w:sz w:val="32"/>
          <w:szCs w:val="32"/>
        </w:rPr>
        <w:t>楼会议室。</w:t>
      </w:r>
    </w:p>
    <w:p w:rsidR="00C17FB7" w:rsidRDefault="00C17FB7" w:rsidP="001157F6">
      <w:pPr>
        <w:rPr>
          <w:rFonts w:ascii="仿宋" w:eastAsia="仿宋" w:hAnsi="仿宋"/>
          <w:b/>
          <w:sz w:val="32"/>
          <w:szCs w:val="32"/>
        </w:rPr>
      </w:pPr>
      <w:r w:rsidRPr="00C17FB7">
        <w:rPr>
          <w:rFonts w:ascii="仿宋" w:eastAsia="仿宋" w:hAnsi="仿宋" w:hint="eastAsia"/>
          <w:b/>
          <w:sz w:val="32"/>
          <w:szCs w:val="32"/>
        </w:rPr>
        <w:t xml:space="preserve">    三、</w:t>
      </w:r>
      <w:r w:rsidR="006247B4">
        <w:rPr>
          <w:rFonts w:ascii="仿宋" w:eastAsia="仿宋" w:hAnsi="仿宋" w:hint="eastAsia"/>
          <w:b/>
          <w:sz w:val="32"/>
          <w:szCs w:val="32"/>
        </w:rPr>
        <w:t>授</w:t>
      </w:r>
      <w:r>
        <w:rPr>
          <w:rFonts w:ascii="仿宋" w:eastAsia="仿宋" w:hAnsi="仿宋" w:hint="eastAsia"/>
          <w:b/>
          <w:sz w:val="32"/>
          <w:szCs w:val="32"/>
        </w:rPr>
        <w:t>课</w:t>
      </w:r>
      <w:r w:rsidR="00A007AA">
        <w:rPr>
          <w:rFonts w:ascii="仿宋" w:eastAsia="仿宋" w:hAnsi="仿宋" w:hint="eastAsia"/>
          <w:b/>
          <w:sz w:val="32"/>
          <w:szCs w:val="32"/>
        </w:rPr>
        <w:t>专家</w:t>
      </w:r>
      <w:r>
        <w:rPr>
          <w:rFonts w:ascii="仿宋" w:eastAsia="仿宋" w:hAnsi="仿宋" w:hint="eastAsia"/>
          <w:b/>
          <w:sz w:val="32"/>
          <w:szCs w:val="32"/>
        </w:rPr>
        <w:t>：</w:t>
      </w:r>
    </w:p>
    <w:p w:rsidR="00C17FB7" w:rsidRPr="00A007AA" w:rsidRDefault="00C17FB7" w:rsidP="001157F6">
      <w:pPr>
        <w:rPr>
          <w:rFonts w:ascii="仿宋" w:eastAsia="仿宋" w:hAnsi="仿宋"/>
          <w:sz w:val="32"/>
          <w:szCs w:val="32"/>
        </w:rPr>
      </w:pPr>
      <w:r w:rsidRPr="00A007AA">
        <w:rPr>
          <w:rFonts w:ascii="仿宋" w:eastAsia="仿宋" w:hAnsi="仿宋" w:hint="eastAsia"/>
          <w:sz w:val="32"/>
          <w:szCs w:val="32"/>
        </w:rPr>
        <w:t xml:space="preserve">    邀请中国银行江苏省分行</w:t>
      </w:r>
      <w:r w:rsidR="00A007AA" w:rsidRPr="00A007AA">
        <w:rPr>
          <w:rFonts w:ascii="仿宋" w:eastAsia="仿宋" w:hAnsi="仿宋" w:cs="Arial" w:hint="eastAsia"/>
          <w:sz w:val="32"/>
          <w:szCs w:val="32"/>
        </w:rPr>
        <w:t>贸易金融部</w:t>
      </w:r>
      <w:r w:rsidR="006247B4" w:rsidRPr="00A007AA">
        <w:rPr>
          <w:rFonts w:ascii="仿宋" w:eastAsia="仿宋" w:hAnsi="仿宋" w:hint="eastAsia"/>
          <w:sz w:val="32"/>
          <w:szCs w:val="32"/>
        </w:rPr>
        <w:t>徐珺</w:t>
      </w:r>
      <w:r w:rsidR="00A007AA" w:rsidRPr="00A007AA">
        <w:rPr>
          <w:rFonts w:ascii="仿宋" w:eastAsia="仿宋" w:hAnsi="仿宋" w:cs="Arial" w:hint="eastAsia"/>
          <w:sz w:val="32"/>
          <w:szCs w:val="32"/>
        </w:rPr>
        <w:t>副总</w:t>
      </w:r>
      <w:r w:rsidR="00A007AA" w:rsidRPr="00A007AA">
        <w:rPr>
          <w:rFonts w:ascii="仿宋" w:eastAsia="仿宋" w:hAnsi="仿宋" w:cs="Arial"/>
          <w:sz w:val="32"/>
          <w:szCs w:val="32"/>
        </w:rPr>
        <w:t>经理</w:t>
      </w:r>
      <w:r w:rsidR="006247B4" w:rsidRPr="00A007AA">
        <w:rPr>
          <w:rFonts w:ascii="仿宋" w:eastAsia="仿宋" w:hAnsi="仿宋" w:hint="eastAsia"/>
          <w:sz w:val="32"/>
          <w:szCs w:val="32"/>
        </w:rPr>
        <w:t>授课</w:t>
      </w:r>
      <w:r w:rsidR="00A007AA">
        <w:rPr>
          <w:rFonts w:ascii="仿宋" w:eastAsia="仿宋" w:hAnsi="仿宋" w:hint="eastAsia"/>
          <w:sz w:val="32"/>
          <w:szCs w:val="32"/>
        </w:rPr>
        <w:t>（</w:t>
      </w:r>
      <w:r w:rsidR="001157F6">
        <w:rPr>
          <w:rFonts w:ascii="仿宋" w:eastAsia="仿宋" w:hAnsi="仿宋" w:hint="eastAsia"/>
          <w:sz w:val="32"/>
          <w:szCs w:val="32"/>
        </w:rPr>
        <w:t>徐</w:t>
      </w:r>
      <w:r w:rsidR="001157F6" w:rsidRPr="00A007AA">
        <w:rPr>
          <w:rFonts w:ascii="仿宋" w:eastAsia="仿宋" w:hAnsi="仿宋" w:hint="eastAsia"/>
          <w:sz w:val="32"/>
          <w:szCs w:val="32"/>
        </w:rPr>
        <w:t>珺</w:t>
      </w:r>
      <w:r w:rsidR="00A007AA">
        <w:rPr>
          <w:rFonts w:ascii="仿宋" w:eastAsia="仿宋" w:hAnsi="仿宋" w:hint="eastAsia"/>
          <w:sz w:val="32"/>
          <w:szCs w:val="32"/>
        </w:rPr>
        <w:t>简介附后）</w:t>
      </w:r>
      <w:r w:rsidR="006247B4" w:rsidRPr="00A007AA">
        <w:rPr>
          <w:rFonts w:ascii="仿宋" w:eastAsia="仿宋" w:hAnsi="仿宋" w:hint="eastAsia"/>
          <w:sz w:val="32"/>
          <w:szCs w:val="32"/>
        </w:rPr>
        <w:t>。</w:t>
      </w:r>
    </w:p>
    <w:p w:rsidR="00A007AA" w:rsidRPr="006247B4" w:rsidRDefault="0033596B" w:rsidP="001157F6">
      <w:pPr>
        <w:rPr>
          <w:rFonts w:ascii="仿宋" w:eastAsia="仿宋" w:hAnsi="仿宋"/>
          <w:b/>
          <w:sz w:val="32"/>
          <w:szCs w:val="32"/>
        </w:rPr>
      </w:pPr>
      <w:r w:rsidRPr="00A007AA">
        <w:rPr>
          <w:rFonts w:ascii="仿宋" w:eastAsia="仿宋" w:hAnsi="仿宋" w:hint="eastAsia"/>
          <w:b/>
          <w:sz w:val="32"/>
          <w:szCs w:val="32"/>
        </w:rPr>
        <w:t xml:space="preserve">    </w:t>
      </w:r>
      <w:bookmarkStart w:id="0" w:name="_GoBack"/>
      <w:bookmarkEnd w:id="0"/>
      <w:r w:rsidR="00A007AA" w:rsidRPr="006247B4">
        <w:rPr>
          <w:rFonts w:ascii="仿宋" w:eastAsia="仿宋" w:hAnsi="仿宋" w:hint="eastAsia"/>
          <w:b/>
          <w:sz w:val="32"/>
          <w:szCs w:val="32"/>
        </w:rPr>
        <w:t>四、参培人员：</w:t>
      </w:r>
    </w:p>
    <w:p w:rsidR="00A007AA" w:rsidRDefault="00A007AA" w:rsidP="001157F6">
      <w:pPr>
        <w:rPr>
          <w:rFonts w:ascii="仿宋" w:eastAsia="仿宋" w:hAnsi="仿宋"/>
          <w:sz w:val="32"/>
          <w:szCs w:val="32"/>
        </w:rPr>
      </w:pPr>
      <w:r>
        <w:rPr>
          <w:rFonts w:ascii="仿宋" w:eastAsia="仿宋" w:hAnsi="仿宋" w:hint="eastAsia"/>
          <w:sz w:val="32"/>
          <w:szCs w:val="32"/>
        </w:rPr>
        <w:lastRenderedPageBreak/>
        <w:t xml:space="preserve">    省内外贸企业贸易、单证、财会等部门相关人员，培训规模100人左右。</w:t>
      </w:r>
    </w:p>
    <w:p w:rsidR="001157F6" w:rsidRPr="001157F6" w:rsidRDefault="001157F6" w:rsidP="001157F6">
      <w:pPr>
        <w:ind w:firstLineChars="200" w:firstLine="643"/>
        <w:rPr>
          <w:rFonts w:ascii="仿宋" w:eastAsia="仿宋" w:hAnsi="仿宋"/>
          <w:b/>
          <w:sz w:val="32"/>
          <w:szCs w:val="32"/>
        </w:rPr>
      </w:pPr>
      <w:r w:rsidRPr="001157F6">
        <w:rPr>
          <w:rFonts w:ascii="仿宋" w:eastAsia="仿宋" w:hAnsi="仿宋" w:hint="eastAsia"/>
          <w:b/>
          <w:sz w:val="32"/>
          <w:szCs w:val="32"/>
        </w:rPr>
        <w:t>五、有关事项：</w:t>
      </w:r>
    </w:p>
    <w:p w:rsidR="001157F6" w:rsidRDefault="001157F6" w:rsidP="001157F6">
      <w:pPr>
        <w:ind w:firstLineChars="200" w:firstLine="640"/>
        <w:rPr>
          <w:rStyle w:val="pointer"/>
          <w:rFonts w:ascii="仿宋" w:eastAsia="仿宋" w:hAnsi="仿宋"/>
          <w:sz w:val="32"/>
          <w:szCs w:val="32"/>
        </w:rPr>
      </w:pPr>
      <w:r>
        <w:rPr>
          <w:rFonts w:ascii="仿宋" w:eastAsia="仿宋" w:hAnsi="仿宋" w:hint="eastAsia"/>
          <w:sz w:val="32"/>
          <w:szCs w:val="32"/>
        </w:rPr>
        <w:t>1、请参会人员于6月14日前将回执传真至商会，或发送至邮箱</w:t>
      </w:r>
      <w:r>
        <w:rPr>
          <w:rStyle w:val="pointer"/>
          <w:rFonts w:ascii="仿宋" w:eastAsia="仿宋" w:hAnsi="仿宋"/>
          <w:sz w:val="32"/>
          <w:szCs w:val="32"/>
        </w:rPr>
        <w:t>jy@jccief.org.cn</w:t>
      </w:r>
    </w:p>
    <w:p w:rsidR="001157F6" w:rsidRDefault="001157F6" w:rsidP="001157F6">
      <w:pPr>
        <w:ind w:firstLineChars="200" w:firstLine="640"/>
        <w:rPr>
          <w:rFonts w:ascii="仿宋" w:eastAsia="仿宋" w:hAnsi="仿宋"/>
          <w:sz w:val="32"/>
          <w:szCs w:val="32"/>
        </w:rPr>
      </w:pPr>
      <w:r>
        <w:rPr>
          <w:rFonts w:ascii="仿宋" w:eastAsia="仿宋" w:hAnsi="仿宋" w:hint="eastAsia"/>
          <w:sz w:val="32"/>
          <w:szCs w:val="32"/>
        </w:rPr>
        <w:t>2、联 系 人：杨海宁  陈硕</w:t>
      </w:r>
    </w:p>
    <w:p w:rsidR="001157F6" w:rsidRDefault="001157F6" w:rsidP="001157F6">
      <w:pPr>
        <w:ind w:firstLineChars="200" w:firstLine="640"/>
        <w:rPr>
          <w:rFonts w:ascii="仿宋" w:eastAsia="仿宋" w:hAnsi="仿宋"/>
          <w:sz w:val="32"/>
          <w:szCs w:val="32"/>
        </w:rPr>
      </w:pPr>
      <w:r>
        <w:rPr>
          <w:rFonts w:ascii="仿宋" w:eastAsia="仿宋" w:hAnsi="仿宋" w:hint="eastAsia"/>
          <w:sz w:val="32"/>
          <w:szCs w:val="32"/>
        </w:rPr>
        <w:t xml:space="preserve">   联系电话：025-52308</w:t>
      </w:r>
      <w:r w:rsidR="002C154E">
        <w:rPr>
          <w:rFonts w:ascii="仿宋" w:eastAsia="仿宋" w:hAnsi="仿宋" w:hint="eastAsia"/>
          <w:sz w:val="32"/>
          <w:szCs w:val="32"/>
        </w:rPr>
        <w:t>656</w:t>
      </w:r>
      <w:r>
        <w:rPr>
          <w:rFonts w:ascii="仿宋" w:eastAsia="仿宋" w:hAnsi="仿宋" w:hint="eastAsia"/>
          <w:sz w:val="32"/>
          <w:szCs w:val="32"/>
        </w:rPr>
        <w:t>、52308676</w:t>
      </w:r>
    </w:p>
    <w:p w:rsidR="001157F6" w:rsidRDefault="001157F6" w:rsidP="001157F6">
      <w:pPr>
        <w:ind w:firstLineChars="200" w:firstLine="640"/>
        <w:rPr>
          <w:rFonts w:ascii="仿宋" w:eastAsia="仿宋" w:hAnsi="仿宋"/>
          <w:sz w:val="32"/>
          <w:szCs w:val="32"/>
        </w:rPr>
      </w:pPr>
      <w:r>
        <w:rPr>
          <w:rFonts w:ascii="仿宋" w:eastAsia="仿宋" w:hAnsi="仿宋" w:hint="eastAsia"/>
          <w:sz w:val="32"/>
          <w:szCs w:val="32"/>
        </w:rPr>
        <w:t xml:space="preserve">   传    真：025-52308982</w:t>
      </w:r>
    </w:p>
    <w:p w:rsidR="001157F6" w:rsidRDefault="002C154E" w:rsidP="001157F6">
      <w:pPr>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2336" behindDoc="0" locked="0" layoutInCell="1" allowOverlap="1">
            <wp:simplePos x="0" y="0"/>
            <wp:positionH relativeFrom="column">
              <wp:posOffset>3086100</wp:posOffset>
            </wp:positionH>
            <wp:positionV relativeFrom="paragraph">
              <wp:posOffset>135255</wp:posOffset>
            </wp:positionV>
            <wp:extent cx="1600200" cy="1571625"/>
            <wp:effectExtent l="19050" t="0" r="0" b="0"/>
            <wp:wrapNone/>
            <wp:docPr id="6" name="Picture 5"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商会电子章（透明）"/>
                    <pic:cNvPicPr>
                      <a:picLocks noChangeAspect="1" noChangeArrowheads="1"/>
                    </pic:cNvPicPr>
                  </pic:nvPicPr>
                  <pic:blipFill>
                    <a:blip r:embed="rId6" cstate="print"/>
                    <a:srcRect/>
                    <a:stretch>
                      <a:fillRect/>
                    </a:stretch>
                  </pic:blipFill>
                  <pic:spPr bwMode="auto">
                    <a:xfrm>
                      <a:off x="0" y="0"/>
                      <a:ext cx="1600200" cy="1571625"/>
                    </a:xfrm>
                    <a:prstGeom prst="rect">
                      <a:avLst/>
                    </a:prstGeom>
                    <a:noFill/>
                    <a:ln w="9525">
                      <a:noFill/>
                      <a:miter lim="800000"/>
                      <a:headEnd/>
                      <a:tailEnd/>
                    </a:ln>
                  </pic:spPr>
                </pic:pic>
              </a:graphicData>
            </a:graphic>
          </wp:anchor>
        </w:drawing>
      </w:r>
      <w:r>
        <w:rPr>
          <w:rFonts w:ascii="仿宋" w:eastAsia="仿宋" w:hAnsi="仿宋" w:hint="eastAsia"/>
          <w:noProof/>
          <w:sz w:val="32"/>
          <w:szCs w:val="32"/>
        </w:rPr>
        <w:drawing>
          <wp:anchor distT="0" distB="0" distL="114300" distR="114300" simplePos="0" relativeHeight="251661312" behindDoc="0" locked="0" layoutInCell="1" allowOverlap="1">
            <wp:simplePos x="0" y="0"/>
            <wp:positionH relativeFrom="column">
              <wp:posOffset>4584700</wp:posOffset>
            </wp:positionH>
            <wp:positionV relativeFrom="paragraph">
              <wp:posOffset>7124700</wp:posOffset>
            </wp:positionV>
            <wp:extent cx="1600200" cy="1576070"/>
            <wp:effectExtent l="19050" t="0" r="0" b="0"/>
            <wp:wrapNone/>
            <wp:docPr id="5" name="Picture 5"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商会电子章（透明）"/>
                    <pic:cNvPicPr>
                      <a:picLocks noChangeAspect="1" noChangeArrowheads="1"/>
                    </pic:cNvPicPr>
                  </pic:nvPicPr>
                  <pic:blipFill>
                    <a:blip r:embed="rId7" cstate="print"/>
                    <a:srcRect/>
                    <a:stretch>
                      <a:fillRect/>
                    </a:stretch>
                  </pic:blipFill>
                  <pic:spPr bwMode="auto">
                    <a:xfrm>
                      <a:off x="0" y="0"/>
                      <a:ext cx="1600200" cy="1576070"/>
                    </a:xfrm>
                    <a:prstGeom prst="rect">
                      <a:avLst/>
                    </a:prstGeom>
                    <a:noFill/>
                    <a:ln w="9525">
                      <a:noFill/>
                      <a:miter lim="800000"/>
                      <a:headEnd/>
                      <a:tailEnd/>
                    </a:ln>
                  </pic:spPr>
                </pic:pic>
              </a:graphicData>
            </a:graphic>
          </wp:anchor>
        </w:drawing>
      </w:r>
      <w:r w:rsidR="001157F6">
        <w:rPr>
          <w:rFonts w:ascii="仿宋" w:eastAsia="仿宋" w:hAnsi="仿宋" w:hint="eastAsia"/>
          <w:sz w:val="32"/>
          <w:szCs w:val="32"/>
        </w:rPr>
        <w:t>特此通知。</w:t>
      </w:r>
    </w:p>
    <w:p w:rsidR="001157F6" w:rsidRDefault="001157F6" w:rsidP="001157F6">
      <w:pPr>
        <w:ind w:firstLineChars="200" w:firstLine="640"/>
        <w:rPr>
          <w:rFonts w:ascii="仿宋" w:eastAsia="仿宋" w:hAnsi="仿宋"/>
          <w:sz w:val="32"/>
          <w:szCs w:val="32"/>
        </w:rPr>
      </w:pPr>
    </w:p>
    <w:p w:rsidR="002C154E" w:rsidRDefault="002C154E" w:rsidP="001157F6">
      <w:pPr>
        <w:ind w:firstLineChars="200" w:firstLine="640"/>
        <w:rPr>
          <w:rFonts w:ascii="仿宋" w:eastAsia="仿宋" w:hAnsi="仿宋"/>
          <w:sz w:val="32"/>
          <w:szCs w:val="32"/>
        </w:rPr>
      </w:pPr>
    </w:p>
    <w:p w:rsidR="00A007AA" w:rsidRDefault="00A007AA" w:rsidP="001157F6">
      <w:pPr>
        <w:rPr>
          <w:rFonts w:ascii="仿宋" w:eastAsia="仿宋" w:hAnsi="仿宋"/>
          <w:sz w:val="32"/>
          <w:szCs w:val="32"/>
        </w:rPr>
      </w:pPr>
      <w:r>
        <w:rPr>
          <w:rFonts w:ascii="仿宋" w:eastAsia="仿宋" w:hAnsi="仿宋" w:hint="eastAsia"/>
          <w:sz w:val="32"/>
          <w:szCs w:val="32"/>
        </w:rPr>
        <w:t xml:space="preserve">                              </w:t>
      </w:r>
      <w:r w:rsidR="001157F6">
        <w:rPr>
          <w:rFonts w:ascii="仿宋" w:eastAsia="仿宋" w:hAnsi="仿宋" w:hint="eastAsia"/>
          <w:sz w:val="32"/>
          <w:szCs w:val="32"/>
        </w:rPr>
        <w:t>江苏省进出口商会</w:t>
      </w:r>
    </w:p>
    <w:p w:rsidR="00A007AA" w:rsidRDefault="00A007AA" w:rsidP="001157F6">
      <w:pPr>
        <w:rPr>
          <w:rFonts w:ascii="仿宋" w:eastAsia="仿宋" w:hAnsi="仿宋"/>
          <w:sz w:val="32"/>
          <w:szCs w:val="32"/>
        </w:rPr>
      </w:pPr>
      <w:r>
        <w:rPr>
          <w:rFonts w:ascii="仿宋" w:eastAsia="仿宋" w:hAnsi="仿宋" w:hint="eastAsia"/>
          <w:sz w:val="32"/>
          <w:szCs w:val="32"/>
        </w:rPr>
        <w:t xml:space="preserve">                               2016年</w:t>
      </w:r>
      <w:r w:rsidR="001157F6">
        <w:rPr>
          <w:rFonts w:ascii="仿宋" w:eastAsia="仿宋" w:hAnsi="仿宋" w:hint="eastAsia"/>
          <w:sz w:val="32"/>
          <w:szCs w:val="32"/>
        </w:rPr>
        <w:t>6</w:t>
      </w:r>
      <w:r>
        <w:rPr>
          <w:rFonts w:ascii="仿宋" w:eastAsia="仿宋" w:hAnsi="仿宋" w:hint="eastAsia"/>
          <w:sz w:val="32"/>
          <w:szCs w:val="32"/>
        </w:rPr>
        <w:t>月</w:t>
      </w:r>
      <w:r w:rsidR="00CB70B6">
        <w:rPr>
          <w:rFonts w:ascii="仿宋" w:eastAsia="仿宋" w:hAnsi="仿宋" w:hint="eastAsia"/>
          <w:sz w:val="32"/>
          <w:szCs w:val="32"/>
        </w:rPr>
        <w:t>6</w:t>
      </w:r>
      <w:r>
        <w:rPr>
          <w:rFonts w:ascii="仿宋" w:eastAsia="仿宋" w:hAnsi="仿宋" w:hint="eastAsia"/>
          <w:sz w:val="32"/>
          <w:szCs w:val="32"/>
        </w:rPr>
        <w:t>日</w:t>
      </w:r>
    </w:p>
    <w:p w:rsidR="003F5BC2" w:rsidRPr="00C17FB7" w:rsidRDefault="003F5BC2" w:rsidP="001157F6">
      <w:pPr>
        <w:rPr>
          <w:rFonts w:ascii="仿宋" w:eastAsia="仿宋" w:hAnsi="仿宋"/>
          <w:sz w:val="32"/>
          <w:szCs w:val="32"/>
        </w:rPr>
      </w:pPr>
    </w:p>
    <w:p w:rsidR="001157F6" w:rsidRDefault="001157F6" w:rsidP="001157F6">
      <w:pPr>
        <w:spacing w:line="560" w:lineRule="exact"/>
        <w:jc w:val="center"/>
        <w:rPr>
          <w:rFonts w:ascii="宋体" w:hAnsi="宋体"/>
          <w:b/>
          <w:sz w:val="36"/>
          <w:szCs w:val="36"/>
        </w:rPr>
      </w:pPr>
    </w:p>
    <w:p w:rsidR="003F5BC2" w:rsidRDefault="003F5BC2" w:rsidP="001157F6">
      <w:pPr>
        <w:spacing w:line="560" w:lineRule="exact"/>
        <w:jc w:val="center"/>
        <w:rPr>
          <w:rFonts w:ascii="宋体" w:hAnsi="宋体"/>
          <w:b/>
          <w:sz w:val="36"/>
          <w:szCs w:val="36"/>
        </w:rPr>
      </w:pPr>
      <w:r>
        <w:rPr>
          <w:rFonts w:ascii="宋体" w:hAnsi="宋体" w:hint="eastAsia"/>
          <w:b/>
          <w:sz w:val="36"/>
          <w:szCs w:val="36"/>
        </w:rPr>
        <w:t>参培</w:t>
      </w:r>
      <w:r w:rsidR="001157F6" w:rsidRPr="003F5BC2">
        <w:rPr>
          <w:rFonts w:ascii="宋体" w:hAnsi="宋体" w:hint="eastAsia"/>
          <w:b/>
          <w:sz w:val="36"/>
          <w:szCs w:val="36"/>
        </w:rPr>
        <w:t>回执</w:t>
      </w:r>
    </w:p>
    <w:p w:rsidR="002C154E" w:rsidRPr="003F5BC2" w:rsidRDefault="002C154E" w:rsidP="001157F6">
      <w:pPr>
        <w:spacing w:line="560" w:lineRule="exact"/>
        <w:jc w:val="center"/>
        <w:rPr>
          <w:rFonts w:ascii="宋体" w:hAnsi="宋体"/>
          <w:b/>
          <w:sz w:val="36"/>
          <w:szCs w:val="36"/>
        </w:rPr>
      </w:pPr>
    </w:p>
    <w:tbl>
      <w:tblPr>
        <w:tblW w:w="8078"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2944"/>
        <w:gridCol w:w="1423"/>
        <w:gridCol w:w="2012"/>
      </w:tblGrid>
      <w:tr w:rsidR="001157F6" w:rsidRPr="003F5BC2" w:rsidTr="001157F6">
        <w:trPr>
          <w:jc w:val="center"/>
        </w:trPr>
        <w:tc>
          <w:tcPr>
            <w:tcW w:w="1699" w:type="dxa"/>
          </w:tcPr>
          <w:p w:rsidR="001157F6" w:rsidRPr="003F5BC2" w:rsidRDefault="001157F6" w:rsidP="00CB70B6">
            <w:pPr>
              <w:spacing w:line="680" w:lineRule="exact"/>
              <w:jc w:val="center"/>
              <w:rPr>
                <w:rFonts w:asciiTheme="minorEastAsia" w:hAnsiTheme="minorEastAsia"/>
                <w:b/>
                <w:sz w:val="24"/>
              </w:rPr>
            </w:pPr>
            <w:r w:rsidRPr="003F5BC2">
              <w:rPr>
                <w:rFonts w:asciiTheme="minorEastAsia" w:hAnsiTheme="minorEastAsia" w:hint="eastAsia"/>
                <w:b/>
                <w:sz w:val="24"/>
              </w:rPr>
              <w:t>姓 名</w:t>
            </w:r>
          </w:p>
        </w:tc>
        <w:tc>
          <w:tcPr>
            <w:tcW w:w="2944" w:type="dxa"/>
          </w:tcPr>
          <w:p w:rsidR="001157F6" w:rsidRPr="003F5BC2" w:rsidRDefault="001157F6" w:rsidP="00CB70B6">
            <w:pPr>
              <w:spacing w:line="680" w:lineRule="exact"/>
              <w:jc w:val="center"/>
              <w:rPr>
                <w:rFonts w:asciiTheme="minorEastAsia" w:hAnsiTheme="minorEastAsia"/>
                <w:b/>
                <w:sz w:val="24"/>
              </w:rPr>
            </w:pPr>
            <w:r w:rsidRPr="003F5BC2">
              <w:rPr>
                <w:rFonts w:asciiTheme="minorEastAsia" w:hAnsiTheme="minorEastAsia" w:hint="eastAsia"/>
                <w:b/>
                <w:sz w:val="24"/>
              </w:rPr>
              <w:t>单 位</w:t>
            </w:r>
          </w:p>
        </w:tc>
        <w:tc>
          <w:tcPr>
            <w:tcW w:w="1423" w:type="dxa"/>
          </w:tcPr>
          <w:p w:rsidR="001157F6" w:rsidRPr="003F5BC2" w:rsidRDefault="001157F6" w:rsidP="00CB70B6">
            <w:pPr>
              <w:spacing w:line="680" w:lineRule="exact"/>
              <w:jc w:val="center"/>
              <w:rPr>
                <w:rFonts w:asciiTheme="minorEastAsia" w:hAnsiTheme="minorEastAsia"/>
                <w:b/>
                <w:sz w:val="24"/>
              </w:rPr>
            </w:pPr>
            <w:r w:rsidRPr="003F5BC2">
              <w:rPr>
                <w:rFonts w:asciiTheme="minorEastAsia" w:hAnsiTheme="minorEastAsia" w:hint="eastAsia"/>
                <w:b/>
                <w:sz w:val="24"/>
              </w:rPr>
              <w:t>职 务</w:t>
            </w:r>
          </w:p>
        </w:tc>
        <w:tc>
          <w:tcPr>
            <w:tcW w:w="2012" w:type="dxa"/>
          </w:tcPr>
          <w:p w:rsidR="001157F6" w:rsidRPr="003F5BC2" w:rsidRDefault="001157F6" w:rsidP="00CB70B6">
            <w:pPr>
              <w:spacing w:line="680" w:lineRule="exact"/>
              <w:jc w:val="center"/>
              <w:rPr>
                <w:rFonts w:asciiTheme="minorEastAsia" w:hAnsiTheme="minorEastAsia"/>
                <w:b/>
                <w:sz w:val="24"/>
              </w:rPr>
            </w:pPr>
            <w:r w:rsidRPr="003F5BC2">
              <w:rPr>
                <w:rFonts w:asciiTheme="minorEastAsia" w:hAnsiTheme="minorEastAsia" w:hint="eastAsia"/>
                <w:b/>
                <w:sz w:val="24"/>
              </w:rPr>
              <w:t>联系电话</w:t>
            </w:r>
          </w:p>
        </w:tc>
      </w:tr>
      <w:tr w:rsidR="001157F6" w:rsidTr="001157F6">
        <w:trPr>
          <w:jc w:val="center"/>
        </w:trPr>
        <w:tc>
          <w:tcPr>
            <w:tcW w:w="1699" w:type="dxa"/>
          </w:tcPr>
          <w:p w:rsidR="001157F6" w:rsidRDefault="001157F6" w:rsidP="004D1ECC">
            <w:pPr>
              <w:spacing w:line="680" w:lineRule="exact"/>
              <w:rPr>
                <w:rFonts w:ascii="宋体" w:hAnsi="宋体"/>
                <w:sz w:val="24"/>
              </w:rPr>
            </w:pPr>
          </w:p>
        </w:tc>
        <w:tc>
          <w:tcPr>
            <w:tcW w:w="2944" w:type="dxa"/>
          </w:tcPr>
          <w:p w:rsidR="001157F6" w:rsidRDefault="001157F6" w:rsidP="004D1ECC">
            <w:pPr>
              <w:spacing w:line="680" w:lineRule="exact"/>
              <w:rPr>
                <w:rFonts w:ascii="宋体" w:hAnsi="宋体"/>
                <w:sz w:val="24"/>
              </w:rPr>
            </w:pPr>
          </w:p>
        </w:tc>
        <w:tc>
          <w:tcPr>
            <w:tcW w:w="1423" w:type="dxa"/>
          </w:tcPr>
          <w:p w:rsidR="001157F6" w:rsidRDefault="001157F6" w:rsidP="004D1ECC">
            <w:pPr>
              <w:spacing w:line="680" w:lineRule="exact"/>
              <w:rPr>
                <w:rFonts w:ascii="宋体" w:hAnsi="宋体"/>
                <w:sz w:val="24"/>
              </w:rPr>
            </w:pPr>
          </w:p>
        </w:tc>
        <w:tc>
          <w:tcPr>
            <w:tcW w:w="2012" w:type="dxa"/>
          </w:tcPr>
          <w:p w:rsidR="001157F6" w:rsidRDefault="001157F6" w:rsidP="004D1ECC">
            <w:pPr>
              <w:spacing w:line="680" w:lineRule="exact"/>
              <w:rPr>
                <w:rFonts w:ascii="宋体" w:hAnsi="宋体"/>
                <w:sz w:val="24"/>
              </w:rPr>
            </w:pPr>
          </w:p>
        </w:tc>
      </w:tr>
      <w:tr w:rsidR="001157F6" w:rsidTr="001157F6">
        <w:trPr>
          <w:jc w:val="center"/>
        </w:trPr>
        <w:tc>
          <w:tcPr>
            <w:tcW w:w="1699" w:type="dxa"/>
          </w:tcPr>
          <w:p w:rsidR="001157F6" w:rsidRDefault="001157F6" w:rsidP="004D1ECC">
            <w:pPr>
              <w:spacing w:line="680" w:lineRule="exact"/>
              <w:rPr>
                <w:rFonts w:ascii="宋体" w:hAnsi="宋体"/>
                <w:sz w:val="24"/>
              </w:rPr>
            </w:pPr>
          </w:p>
        </w:tc>
        <w:tc>
          <w:tcPr>
            <w:tcW w:w="2944" w:type="dxa"/>
          </w:tcPr>
          <w:p w:rsidR="001157F6" w:rsidRDefault="001157F6" w:rsidP="004D1ECC">
            <w:pPr>
              <w:spacing w:line="680" w:lineRule="exact"/>
              <w:rPr>
                <w:rFonts w:ascii="宋体" w:hAnsi="宋体"/>
                <w:sz w:val="24"/>
              </w:rPr>
            </w:pPr>
          </w:p>
        </w:tc>
        <w:tc>
          <w:tcPr>
            <w:tcW w:w="1423" w:type="dxa"/>
          </w:tcPr>
          <w:p w:rsidR="001157F6" w:rsidRDefault="001157F6" w:rsidP="004D1ECC">
            <w:pPr>
              <w:spacing w:line="680" w:lineRule="exact"/>
              <w:rPr>
                <w:rFonts w:ascii="宋体" w:hAnsi="宋体"/>
                <w:sz w:val="24"/>
              </w:rPr>
            </w:pPr>
          </w:p>
        </w:tc>
        <w:tc>
          <w:tcPr>
            <w:tcW w:w="2012" w:type="dxa"/>
          </w:tcPr>
          <w:p w:rsidR="001157F6" w:rsidRDefault="001157F6" w:rsidP="004D1ECC">
            <w:pPr>
              <w:spacing w:line="680" w:lineRule="exact"/>
              <w:rPr>
                <w:rFonts w:ascii="宋体" w:hAnsi="宋体"/>
                <w:sz w:val="24"/>
              </w:rPr>
            </w:pPr>
          </w:p>
        </w:tc>
      </w:tr>
      <w:tr w:rsidR="001157F6" w:rsidTr="001157F6">
        <w:trPr>
          <w:jc w:val="center"/>
        </w:trPr>
        <w:tc>
          <w:tcPr>
            <w:tcW w:w="1699" w:type="dxa"/>
          </w:tcPr>
          <w:p w:rsidR="001157F6" w:rsidRDefault="001157F6" w:rsidP="004D1ECC">
            <w:pPr>
              <w:spacing w:line="680" w:lineRule="exact"/>
              <w:rPr>
                <w:rFonts w:ascii="宋体" w:hAnsi="宋体"/>
                <w:sz w:val="24"/>
              </w:rPr>
            </w:pPr>
          </w:p>
        </w:tc>
        <w:tc>
          <w:tcPr>
            <w:tcW w:w="2944" w:type="dxa"/>
          </w:tcPr>
          <w:p w:rsidR="001157F6" w:rsidRDefault="001157F6" w:rsidP="004D1ECC">
            <w:pPr>
              <w:spacing w:line="680" w:lineRule="exact"/>
              <w:rPr>
                <w:rFonts w:ascii="宋体" w:hAnsi="宋体"/>
                <w:sz w:val="24"/>
              </w:rPr>
            </w:pPr>
          </w:p>
        </w:tc>
        <w:tc>
          <w:tcPr>
            <w:tcW w:w="1423" w:type="dxa"/>
          </w:tcPr>
          <w:p w:rsidR="001157F6" w:rsidRDefault="001157F6" w:rsidP="004D1ECC">
            <w:pPr>
              <w:spacing w:line="680" w:lineRule="exact"/>
              <w:rPr>
                <w:rFonts w:ascii="宋体" w:hAnsi="宋体"/>
                <w:sz w:val="24"/>
              </w:rPr>
            </w:pPr>
          </w:p>
        </w:tc>
        <w:tc>
          <w:tcPr>
            <w:tcW w:w="2012" w:type="dxa"/>
          </w:tcPr>
          <w:p w:rsidR="001157F6" w:rsidRDefault="001157F6" w:rsidP="004D1ECC">
            <w:pPr>
              <w:spacing w:line="680" w:lineRule="exact"/>
              <w:rPr>
                <w:rFonts w:ascii="宋体" w:hAnsi="宋体"/>
                <w:sz w:val="24"/>
              </w:rPr>
            </w:pPr>
          </w:p>
        </w:tc>
      </w:tr>
    </w:tbl>
    <w:p w:rsidR="002C154E" w:rsidRDefault="002C154E" w:rsidP="00A007AA">
      <w:pPr>
        <w:spacing w:line="400" w:lineRule="atLeast"/>
        <w:rPr>
          <w:rFonts w:ascii="仿宋" w:eastAsia="仿宋" w:hAnsi="仿宋" w:cs="Arial"/>
          <w:b/>
          <w:sz w:val="32"/>
          <w:szCs w:val="32"/>
        </w:rPr>
      </w:pPr>
    </w:p>
    <w:p w:rsidR="001157F6" w:rsidRPr="003F5BC2" w:rsidRDefault="001157F6" w:rsidP="003F5BC2">
      <w:pPr>
        <w:spacing w:line="560" w:lineRule="exact"/>
        <w:rPr>
          <w:rFonts w:ascii="仿宋" w:eastAsia="仿宋" w:hAnsi="仿宋" w:cs="Arial"/>
          <w:b/>
          <w:sz w:val="30"/>
          <w:szCs w:val="30"/>
        </w:rPr>
      </w:pPr>
      <w:r w:rsidRPr="003F5BC2">
        <w:rPr>
          <w:rFonts w:ascii="仿宋" w:eastAsia="仿宋" w:hAnsi="仿宋" w:cs="Arial" w:hint="eastAsia"/>
          <w:b/>
          <w:sz w:val="30"/>
          <w:szCs w:val="30"/>
        </w:rPr>
        <w:lastRenderedPageBreak/>
        <w:t>徐珺简介：</w:t>
      </w:r>
    </w:p>
    <w:p w:rsidR="00A007AA" w:rsidRPr="003F5BC2" w:rsidRDefault="001157F6" w:rsidP="003F5BC2">
      <w:pPr>
        <w:spacing w:line="560" w:lineRule="exact"/>
        <w:rPr>
          <w:rFonts w:ascii="仿宋" w:eastAsia="仿宋" w:hAnsi="仿宋"/>
          <w:sz w:val="30"/>
          <w:szCs w:val="30"/>
        </w:rPr>
      </w:pPr>
      <w:r w:rsidRPr="003F5BC2">
        <w:rPr>
          <w:rFonts w:ascii="仿宋" w:eastAsia="仿宋" w:hAnsi="仿宋" w:cs="Arial" w:hint="eastAsia"/>
          <w:sz w:val="30"/>
          <w:szCs w:val="30"/>
        </w:rPr>
        <w:t xml:space="preserve">    </w:t>
      </w:r>
      <w:r w:rsidR="00A007AA" w:rsidRPr="003F5BC2">
        <w:rPr>
          <w:rFonts w:ascii="仿宋" w:eastAsia="仿宋" w:hAnsi="仿宋" w:cs="Arial"/>
          <w:sz w:val="30"/>
          <w:szCs w:val="30"/>
        </w:rPr>
        <w:t>现为中国银行江苏省分行</w:t>
      </w:r>
      <w:r w:rsidR="00A007AA" w:rsidRPr="003F5BC2">
        <w:rPr>
          <w:rFonts w:ascii="仿宋" w:eastAsia="仿宋" w:hAnsi="仿宋" w:cs="Arial" w:hint="eastAsia"/>
          <w:sz w:val="30"/>
          <w:szCs w:val="30"/>
        </w:rPr>
        <w:t>贸易金融部副总</w:t>
      </w:r>
      <w:r w:rsidR="00A007AA" w:rsidRPr="003F5BC2">
        <w:rPr>
          <w:rFonts w:ascii="仿宋" w:eastAsia="仿宋" w:hAnsi="仿宋" w:cs="Arial"/>
          <w:sz w:val="30"/>
          <w:szCs w:val="30"/>
        </w:rPr>
        <w:t>经理，ICC DODEX专家、中国国际商会银行委员会翻译专家组组长、美国法律与实务研究院亚洲顾问组专家</w:t>
      </w:r>
      <w:r w:rsidR="00A007AA" w:rsidRPr="003F5BC2">
        <w:rPr>
          <w:rFonts w:ascii="仿宋" w:eastAsia="仿宋" w:hAnsi="仿宋" w:cs="Arial" w:hint="eastAsia"/>
          <w:sz w:val="30"/>
          <w:szCs w:val="30"/>
        </w:rPr>
        <w:t>，</w:t>
      </w:r>
      <w:r w:rsidR="00A007AA" w:rsidRPr="003F5BC2">
        <w:rPr>
          <w:rFonts w:ascii="仿宋" w:eastAsia="仿宋" w:hAnsi="仿宋" w:hint="eastAsia"/>
          <w:bCs/>
          <w:sz w:val="30"/>
          <w:szCs w:val="30"/>
        </w:rPr>
        <w:t>美国</w:t>
      </w:r>
      <w:r w:rsidR="00A007AA" w:rsidRPr="003F5BC2">
        <w:rPr>
          <w:rFonts w:ascii="仿宋" w:eastAsia="仿宋" w:hAnsi="仿宋" w:cs="Arial" w:hint="eastAsia"/>
          <w:sz w:val="30"/>
          <w:szCs w:val="30"/>
        </w:rPr>
        <w:t>专业杂志《跟单信用证世界》（DCW）顾问编委会编委、国际备用证实务委员会委员、中国银行总行国际结算单证专家组专家；曾被聘为国际商会中国委员会国际贸易术语解释通则修订会专家成员，中国国际商会银行委员会信用证专家；</w:t>
      </w:r>
      <w:r w:rsidR="00A007AA" w:rsidRPr="003F5BC2">
        <w:rPr>
          <w:rFonts w:ascii="仿宋" w:eastAsia="仿宋" w:hAnsi="仿宋" w:cs="Arial"/>
          <w:sz w:val="30"/>
          <w:szCs w:val="30"/>
        </w:rPr>
        <w:t>具有信用证、跟单托收、银行保函、保理、供应链融资、贸易金融产品研发创新等贸易金融相关领域逾2</w:t>
      </w:r>
      <w:r w:rsidR="00A007AA" w:rsidRPr="003F5BC2">
        <w:rPr>
          <w:rFonts w:ascii="仿宋" w:eastAsia="仿宋" w:hAnsi="仿宋" w:cs="Arial" w:hint="eastAsia"/>
          <w:sz w:val="30"/>
          <w:szCs w:val="30"/>
        </w:rPr>
        <w:t>3</w:t>
      </w:r>
      <w:r w:rsidR="00A007AA" w:rsidRPr="003F5BC2">
        <w:rPr>
          <w:rFonts w:ascii="仿宋" w:eastAsia="仿宋" w:hAnsi="仿宋" w:cs="Arial"/>
          <w:sz w:val="30"/>
          <w:szCs w:val="30"/>
        </w:rPr>
        <w:t>年的</w:t>
      </w:r>
      <w:r w:rsidR="00A007AA" w:rsidRPr="003F5BC2">
        <w:rPr>
          <w:rFonts w:ascii="仿宋" w:eastAsia="仿宋" w:hAnsi="仿宋" w:cs="Arial" w:hint="eastAsia"/>
          <w:sz w:val="30"/>
          <w:szCs w:val="30"/>
        </w:rPr>
        <w:t>国内外银行</w:t>
      </w:r>
      <w:r w:rsidR="00A007AA" w:rsidRPr="003F5BC2">
        <w:rPr>
          <w:rFonts w:ascii="仿宋" w:eastAsia="仿宋" w:hAnsi="仿宋" w:cs="Arial"/>
          <w:sz w:val="30"/>
          <w:szCs w:val="30"/>
        </w:rPr>
        <w:t>工作经历</w:t>
      </w:r>
      <w:r w:rsidR="00A007AA" w:rsidRPr="003F5BC2">
        <w:rPr>
          <w:rFonts w:ascii="仿宋" w:eastAsia="仿宋" w:hAnsi="仿宋" w:cs="Arial" w:hint="eastAsia"/>
          <w:sz w:val="30"/>
          <w:szCs w:val="30"/>
        </w:rPr>
        <w:t>，曾就职于美国摩根大通银行</w:t>
      </w:r>
      <w:r w:rsidR="00A007AA" w:rsidRPr="003F5BC2">
        <w:rPr>
          <w:rFonts w:ascii="仿宋" w:eastAsia="仿宋" w:hAnsi="仿宋" w:cs="Arial"/>
          <w:sz w:val="30"/>
          <w:szCs w:val="30"/>
        </w:rPr>
        <w:t>。</w:t>
      </w:r>
      <w:r w:rsidR="00A007AA" w:rsidRPr="003F5BC2">
        <w:rPr>
          <w:rFonts w:ascii="仿宋" w:eastAsia="仿宋" w:hAnsi="仿宋" w:hint="eastAsia"/>
          <w:bCs/>
          <w:color w:val="000000"/>
          <w:sz w:val="30"/>
          <w:szCs w:val="30"/>
        </w:rPr>
        <w:t>先</w:t>
      </w:r>
      <w:r w:rsidR="00A007AA" w:rsidRPr="003F5BC2">
        <w:rPr>
          <w:rFonts w:ascii="仿宋" w:eastAsia="仿宋" w:hAnsi="仿宋" w:cs="Arial" w:hint="eastAsia"/>
          <w:sz w:val="30"/>
          <w:szCs w:val="30"/>
        </w:rPr>
        <w:t>后参加了中国银行总行组织的对国际商会UCP500、ISBP、URBPO、URDG758、INCOTERMS 2000等国际商会惯例及人民银行及银监会关于国内信用证结算办法等相关制度的修订意见反馈、多次受邀参加国际商会等组织举办的专业会议并发表意见、参与总行多项规章制度的草拟工作，</w:t>
      </w:r>
      <w:r w:rsidR="00A007AA" w:rsidRPr="003F5BC2">
        <w:rPr>
          <w:rFonts w:ascii="仿宋" w:eastAsia="仿宋" w:hAnsi="仿宋" w:cs="Arial"/>
          <w:sz w:val="30"/>
          <w:szCs w:val="30"/>
        </w:rPr>
        <w:t>撰写并出版</w:t>
      </w:r>
      <w:r w:rsidR="00A007AA" w:rsidRPr="003F5BC2">
        <w:rPr>
          <w:rFonts w:ascii="仿宋" w:eastAsia="仿宋" w:hAnsi="仿宋" w:cs="Arial" w:hint="eastAsia"/>
          <w:sz w:val="30"/>
          <w:szCs w:val="30"/>
        </w:rPr>
        <w:t>了《国际商务单证实训教程》、《信用证审单有问有答</w:t>
      </w:r>
      <w:r w:rsidR="00A007AA" w:rsidRPr="003F5BC2">
        <w:rPr>
          <w:rFonts w:ascii="仿宋" w:eastAsia="仿宋" w:hAnsi="仿宋" w:cs="Arial"/>
          <w:sz w:val="30"/>
          <w:szCs w:val="30"/>
        </w:rPr>
        <w:t>280例》</w:t>
      </w:r>
      <w:r w:rsidR="00A007AA" w:rsidRPr="003F5BC2">
        <w:rPr>
          <w:rFonts w:ascii="仿宋" w:eastAsia="仿宋" w:hAnsi="仿宋" w:cs="Arial" w:hint="eastAsia"/>
          <w:sz w:val="30"/>
          <w:szCs w:val="30"/>
        </w:rPr>
        <w:t>等</w:t>
      </w:r>
      <w:r w:rsidR="00A007AA" w:rsidRPr="003F5BC2">
        <w:rPr>
          <w:rFonts w:ascii="仿宋" w:eastAsia="仿宋" w:hAnsi="仿宋" w:cs="Arial"/>
          <w:sz w:val="30"/>
          <w:szCs w:val="30"/>
        </w:rPr>
        <w:t>数本贸易金融书籍、发表了数篇专业文章</w:t>
      </w:r>
      <w:r w:rsidR="00A007AA" w:rsidRPr="003F5BC2">
        <w:rPr>
          <w:rFonts w:ascii="仿宋" w:eastAsia="仿宋" w:hAnsi="仿宋" w:cs="Arial" w:hint="eastAsia"/>
          <w:sz w:val="30"/>
          <w:szCs w:val="30"/>
        </w:rPr>
        <w:t>刊载于</w:t>
      </w:r>
      <w:r w:rsidR="00A007AA" w:rsidRPr="003F5BC2">
        <w:rPr>
          <w:rFonts w:ascii="仿宋" w:eastAsia="仿宋" w:hAnsi="仿宋" w:cs="Arial"/>
          <w:sz w:val="30"/>
          <w:szCs w:val="30"/>
        </w:rPr>
        <w:t>Documentary Credit World</w:t>
      </w:r>
      <w:r w:rsidR="00A007AA" w:rsidRPr="003F5BC2">
        <w:rPr>
          <w:rFonts w:ascii="仿宋" w:eastAsia="仿宋" w:hAnsi="仿宋" w:cs="Arial" w:hint="eastAsia"/>
          <w:sz w:val="30"/>
          <w:szCs w:val="30"/>
        </w:rPr>
        <w:t>（DCW）、</w:t>
      </w:r>
      <w:r w:rsidR="00A007AA" w:rsidRPr="003F5BC2">
        <w:rPr>
          <w:rFonts w:ascii="仿宋" w:eastAsia="仿宋" w:hAnsi="仿宋" w:cs="Arial"/>
          <w:sz w:val="30"/>
          <w:szCs w:val="30"/>
        </w:rPr>
        <w:t>IIBLP’</w:t>
      </w:r>
      <w:r w:rsidR="00A007AA" w:rsidRPr="003F5BC2">
        <w:rPr>
          <w:rFonts w:ascii="仿宋" w:eastAsia="仿宋" w:hAnsi="仿宋" w:cs="Arial" w:hint="eastAsia"/>
          <w:sz w:val="30"/>
          <w:szCs w:val="30"/>
        </w:rPr>
        <w:t xml:space="preserve">s </w:t>
      </w:r>
      <w:r w:rsidR="00A007AA" w:rsidRPr="003F5BC2">
        <w:rPr>
          <w:rFonts w:ascii="仿宋" w:eastAsia="仿宋" w:hAnsi="仿宋" w:cs="Arial"/>
          <w:sz w:val="30"/>
          <w:szCs w:val="30"/>
        </w:rPr>
        <w:t>Annual Review of International Banking Law &amp; Practice</w:t>
      </w:r>
      <w:r w:rsidR="00A007AA" w:rsidRPr="003F5BC2">
        <w:rPr>
          <w:rFonts w:ascii="仿宋" w:eastAsia="仿宋" w:hAnsi="仿宋" w:cs="Arial" w:hint="eastAsia"/>
          <w:sz w:val="30"/>
          <w:szCs w:val="30"/>
        </w:rPr>
        <w:t>、《中国外汇》、《金融&amp;贸易》、</w:t>
      </w:r>
      <w:r w:rsidR="00A007AA" w:rsidRPr="003F5BC2">
        <w:rPr>
          <w:rFonts w:ascii="仿宋" w:eastAsia="仿宋" w:hAnsi="仿宋" w:cs="Arial"/>
          <w:sz w:val="30"/>
          <w:szCs w:val="30"/>
        </w:rPr>
        <w:t>《对外经贸实务》</w:t>
      </w:r>
      <w:r w:rsidR="00A007AA" w:rsidRPr="003F5BC2">
        <w:rPr>
          <w:rFonts w:ascii="仿宋" w:eastAsia="仿宋" w:hAnsi="仿宋" w:cs="Arial" w:hint="eastAsia"/>
          <w:sz w:val="30"/>
          <w:szCs w:val="30"/>
        </w:rPr>
        <w:t>、《金融纵横》等国内外专业书刊上</w:t>
      </w:r>
      <w:r w:rsidR="00A007AA" w:rsidRPr="003F5BC2">
        <w:rPr>
          <w:rFonts w:ascii="仿宋" w:eastAsia="仿宋" w:hAnsi="仿宋" w:cs="Arial"/>
          <w:sz w:val="30"/>
          <w:szCs w:val="30"/>
        </w:rPr>
        <w:t>，参与了多本国际商会出版物的翻译工作，</w:t>
      </w:r>
      <w:r w:rsidR="00A007AA" w:rsidRPr="003F5BC2">
        <w:rPr>
          <w:rFonts w:ascii="仿宋" w:eastAsia="仿宋" w:hAnsi="仿宋" w:cs="Arial" w:hint="eastAsia"/>
          <w:sz w:val="30"/>
          <w:szCs w:val="30"/>
        </w:rPr>
        <w:t>包括</w:t>
      </w:r>
      <w:r w:rsidR="00A007AA" w:rsidRPr="003F5BC2">
        <w:rPr>
          <w:rFonts w:ascii="仿宋" w:eastAsia="仿宋" w:hAnsi="仿宋" w:cs="Arial"/>
          <w:sz w:val="30"/>
          <w:szCs w:val="30"/>
        </w:rPr>
        <w:t>《URDG758指南》，</w:t>
      </w:r>
      <w:r w:rsidR="00A007AA" w:rsidRPr="003F5BC2">
        <w:rPr>
          <w:rFonts w:ascii="仿宋" w:eastAsia="仿宋" w:hAnsi="仿宋" w:cs="Arial" w:hint="eastAsia"/>
          <w:sz w:val="30"/>
          <w:szCs w:val="30"/>
        </w:rPr>
        <w:t>《</w:t>
      </w:r>
      <w:r w:rsidR="00A007AA" w:rsidRPr="003F5BC2">
        <w:rPr>
          <w:rFonts w:ascii="仿宋" w:eastAsia="仿宋" w:hAnsi="仿宋" w:cs="Arial"/>
          <w:sz w:val="30"/>
          <w:szCs w:val="30"/>
        </w:rPr>
        <w:t>ISBP745</w:t>
      </w:r>
      <w:r w:rsidR="00A007AA" w:rsidRPr="003F5BC2">
        <w:rPr>
          <w:rFonts w:ascii="仿宋" w:eastAsia="仿宋" w:hAnsi="仿宋" w:cs="Arial" w:hint="eastAsia"/>
          <w:sz w:val="30"/>
          <w:szCs w:val="30"/>
        </w:rPr>
        <w:t>》</w:t>
      </w:r>
      <w:r w:rsidR="00A007AA" w:rsidRPr="003F5BC2">
        <w:rPr>
          <w:rFonts w:ascii="仿宋" w:eastAsia="仿宋" w:hAnsi="仿宋" w:cs="Arial"/>
          <w:sz w:val="30"/>
          <w:szCs w:val="30"/>
        </w:rPr>
        <w:t>、《福费廷统一规则》</w:t>
      </w:r>
      <w:r w:rsidR="00A007AA" w:rsidRPr="003F5BC2">
        <w:rPr>
          <w:rFonts w:ascii="仿宋" w:eastAsia="仿宋" w:hAnsi="仿宋" w:cs="Arial" w:hint="eastAsia"/>
          <w:sz w:val="30"/>
          <w:szCs w:val="30"/>
        </w:rPr>
        <w:t>（URF）、《银行付款责任统一规则》（URBPO）、《URBPO指南》、《DOCDEX裁决汇总</w:t>
      </w:r>
      <w:r w:rsidR="00A007AA" w:rsidRPr="003F5BC2">
        <w:rPr>
          <w:rFonts w:ascii="仿宋" w:eastAsia="仿宋" w:hAnsi="仿宋" w:cs="Arial"/>
          <w:sz w:val="30"/>
          <w:szCs w:val="30"/>
        </w:rPr>
        <w:t>2009-2012</w:t>
      </w:r>
      <w:r w:rsidR="00A007AA" w:rsidRPr="003F5BC2">
        <w:rPr>
          <w:rFonts w:ascii="仿宋" w:eastAsia="仿宋" w:hAnsi="仿宋" w:cs="Arial" w:hint="eastAsia"/>
          <w:sz w:val="30"/>
          <w:szCs w:val="30"/>
        </w:rPr>
        <w:t>年》</w:t>
      </w:r>
      <w:r w:rsidR="00A007AA" w:rsidRPr="003F5BC2">
        <w:rPr>
          <w:rFonts w:ascii="仿宋" w:eastAsia="仿宋" w:hAnsi="仿宋" w:cs="Arial"/>
          <w:sz w:val="30"/>
          <w:szCs w:val="30"/>
        </w:rPr>
        <w:t>以及</w:t>
      </w:r>
      <w:r w:rsidR="00A007AA" w:rsidRPr="003F5BC2">
        <w:rPr>
          <w:rFonts w:ascii="仿宋" w:eastAsia="仿宋" w:hAnsi="仿宋" w:cs="Arial" w:hint="eastAsia"/>
          <w:sz w:val="30"/>
          <w:szCs w:val="30"/>
        </w:rPr>
        <w:t>系列</w:t>
      </w:r>
      <w:r w:rsidR="00A007AA" w:rsidRPr="003F5BC2">
        <w:rPr>
          <w:rFonts w:ascii="仿宋" w:eastAsia="仿宋" w:hAnsi="仿宋" w:cs="Arial"/>
          <w:sz w:val="30"/>
          <w:szCs w:val="30"/>
        </w:rPr>
        <w:t>国际商会意见汇总</w:t>
      </w:r>
      <w:r w:rsidR="00A007AA" w:rsidRPr="003F5BC2">
        <w:rPr>
          <w:rFonts w:ascii="仿宋" w:eastAsia="仿宋" w:hAnsi="仿宋" w:cs="Arial" w:hint="eastAsia"/>
          <w:sz w:val="30"/>
          <w:szCs w:val="30"/>
        </w:rPr>
        <w:t>出版物</w:t>
      </w:r>
      <w:r w:rsidR="00A007AA" w:rsidRPr="003F5BC2">
        <w:rPr>
          <w:rFonts w:ascii="仿宋" w:eastAsia="仿宋" w:hAnsi="仿宋" w:cs="Arial"/>
          <w:sz w:val="30"/>
          <w:szCs w:val="30"/>
        </w:rPr>
        <w:t>（国际商会第660号、680号</w:t>
      </w:r>
      <w:r w:rsidR="00A007AA" w:rsidRPr="003F5BC2">
        <w:rPr>
          <w:rFonts w:ascii="仿宋" w:eastAsia="仿宋" w:hAnsi="仿宋" w:cs="Arial" w:hint="eastAsia"/>
          <w:sz w:val="30"/>
          <w:szCs w:val="30"/>
        </w:rPr>
        <w:t>、</w:t>
      </w:r>
      <w:r w:rsidR="00A007AA" w:rsidRPr="003F5BC2">
        <w:rPr>
          <w:rFonts w:ascii="仿宋" w:eastAsia="仿宋" w:hAnsi="仿宋" w:cs="Arial"/>
          <w:sz w:val="30"/>
          <w:szCs w:val="30"/>
        </w:rPr>
        <w:t>732E</w:t>
      </w:r>
      <w:r w:rsidR="00A007AA" w:rsidRPr="003F5BC2">
        <w:rPr>
          <w:rFonts w:ascii="仿宋" w:eastAsia="仿宋" w:hAnsi="仿宋" w:cs="Arial" w:hint="eastAsia"/>
          <w:sz w:val="30"/>
          <w:szCs w:val="30"/>
        </w:rPr>
        <w:t>、739E</w:t>
      </w:r>
      <w:r w:rsidR="00A007AA" w:rsidRPr="003F5BC2">
        <w:rPr>
          <w:rFonts w:ascii="仿宋" w:eastAsia="仿宋" w:hAnsi="仿宋" w:cs="Arial"/>
          <w:sz w:val="30"/>
          <w:szCs w:val="30"/>
        </w:rPr>
        <w:t>号</w:t>
      </w:r>
      <w:r w:rsidR="00A007AA" w:rsidRPr="003F5BC2">
        <w:rPr>
          <w:rFonts w:ascii="仿宋" w:eastAsia="仿宋" w:hAnsi="仿宋" w:cs="Arial" w:hint="eastAsia"/>
          <w:sz w:val="30"/>
          <w:szCs w:val="30"/>
        </w:rPr>
        <w:t>等</w:t>
      </w:r>
      <w:r w:rsidR="00A007AA" w:rsidRPr="003F5BC2">
        <w:rPr>
          <w:rFonts w:ascii="仿宋" w:eastAsia="仿宋" w:hAnsi="仿宋" w:cs="Arial"/>
          <w:sz w:val="30"/>
          <w:szCs w:val="30"/>
        </w:rPr>
        <w:t>出版物）。</w:t>
      </w:r>
    </w:p>
    <w:sectPr w:rsidR="00A007AA" w:rsidRPr="003F5BC2" w:rsidSect="00B77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7BA" w:rsidRDefault="00C017BA" w:rsidP="006247B4">
      <w:r>
        <w:separator/>
      </w:r>
    </w:p>
  </w:endnote>
  <w:endnote w:type="continuationSeparator" w:id="1">
    <w:p w:rsidR="00C017BA" w:rsidRDefault="00C017BA" w:rsidP="00624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7BA" w:rsidRDefault="00C017BA" w:rsidP="006247B4">
      <w:r>
        <w:separator/>
      </w:r>
    </w:p>
  </w:footnote>
  <w:footnote w:type="continuationSeparator" w:id="1">
    <w:p w:rsidR="00C017BA" w:rsidRDefault="00C017BA" w:rsidP="00624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DE1"/>
    <w:rsid w:val="001157F6"/>
    <w:rsid w:val="002A50ED"/>
    <w:rsid w:val="002C154E"/>
    <w:rsid w:val="00315D77"/>
    <w:rsid w:val="00331DE1"/>
    <w:rsid w:val="0033596B"/>
    <w:rsid w:val="003F5BC2"/>
    <w:rsid w:val="00483F61"/>
    <w:rsid w:val="00540D4F"/>
    <w:rsid w:val="005A7244"/>
    <w:rsid w:val="006247B4"/>
    <w:rsid w:val="008D7938"/>
    <w:rsid w:val="00933AA5"/>
    <w:rsid w:val="00963C6B"/>
    <w:rsid w:val="00A007AA"/>
    <w:rsid w:val="00A536B4"/>
    <w:rsid w:val="00B775DA"/>
    <w:rsid w:val="00B871AC"/>
    <w:rsid w:val="00C017BA"/>
    <w:rsid w:val="00C17FB7"/>
    <w:rsid w:val="00CA69B4"/>
    <w:rsid w:val="00CB70B6"/>
    <w:rsid w:val="00CF12BB"/>
    <w:rsid w:val="00D40D55"/>
    <w:rsid w:val="00E857E6"/>
    <w:rsid w:val="00EE5E66"/>
    <w:rsid w:val="00FF09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47B4"/>
    <w:rPr>
      <w:sz w:val="18"/>
      <w:szCs w:val="18"/>
    </w:rPr>
  </w:style>
  <w:style w:type="paragraph" w:styleId="a4">
    <w:name w:val="footer"/>
    <w:basedOn w:val="a"/>
    <w:link w:val="Char0"/>
    <w:uiPriority w:val="99"/>
    <w:semiHidden/>
    <w:unhideWhenUsed/>
    <w:rsid w:val="006247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47B4"/>
    <w:rPr>
      <w:sz w:val="18"/>
      <w:szCs w:val="18"/>
    </w:rPr>
  </w:style>
  <w:style w:type="character" w:customStyle="1" w:styleId="pointer">
    <w:name w:val="pointer"/>
    <w:basedOn w:val="a0"/>
    <w:rsid w:val="001157F6"/>
  </w:style>
  <w:style w:type="paragraph" w:styleId="a5">
    <w:name w:val="Date"/>
    <w:basedOn w:val="a"/>
    <w:next w:val="a"/>
    <w:link w:val="Char1"/>
    <w:uiPriority w:val="99"/>
    <w:semiHidden/>
    <w:unhideWhenUsed/>
    <w:rsid w:val="003F5BC2"/>
    <w:pPr>
      <w:ind w:leftChars="2500" w:left="100"/>
    </w:pPr>
  </w:style>
  <w:style w:type="character" w:customStyle="1" w:styleId="Char1">
    <w:name w:val="日期 Char"/>
    <w:basedOn w:val="a0"/>
    <w:link w:val="a5"/>
    <w:uiPriority w:val="99"/>
    <w:semiHidden/>
    <w:rsid w:val="003F5B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211</Words>
  <Characters>1209</Characters>
  <Application>Microsoft Office Word</Application>
  <DocSecurity>0</DocSecurity>
  <Lines>10</Lines>
  <Paragraphs>2</Paragraphs>
  <ScaleCrop>false</ScaleCrop>
  <Company>Microsoft</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2016-06-02T04:47:00Z</dcterms:created>
  <dcterms:modified xsi:type="dcterms:W3CDTF">2016-06-06T02:06:00Z</dcterms:modified>
</cp:coreProperties>
</file>