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5"/>
        <w:shd w:val="clear" w:color="auto" w:fill="auto"/>
        <w:spacing w:before="0" w:beforeAutospacing="0" w:after="0" w:afterAutospacing="0" w:line="560" w:lineRule="exact"/>
        <w:rPr>
          <w:rFonts w:ascii="Times New Roman" w:eastAsia="方正黑体_GBK" w:hAnsi="Times New Roman" w:hint="eastAsia"/>
          <w:kern w:val="2"/>
          <w:sz w:val="32"/>
          <w:szCs w:val="32"/>
        </w:rPr>
      </w:pPr>
      <w:r>
        <w:rPr>
          <w:rFonts w:ascii="Times New Roman" w:eastAsia="方正黑体_GBK" w:hAnsi="Times New Roman" w:hint="eastAsia"/>
          <w:kern w:val="2"/>
          <w:sz w:val="32"/>
          <w:szCs w:val="32"/>
        </w:rPr>
        <w:t>附件</w:t>
      </w:r>
    </w:p>
    <w:p>
      <w:pPr>
        <w:pStyle w:val="15"/>
        <w:shd w:val="clear" w:color="auto" w:fill="auto"/>
        <w:spacing w:before="0" w:beforeAutospacing="0" w:after="0" w:afterAutospacing="0" w:line="560" w:lineRule="exact"/>
        <w:rPr>
          <w:rFonts w:ascii="Times New Roman" w:eastAsia="方正仿宋_GBK" w:hAnsi="Times New Roman"/>
          <w:kern w:val="2"/>
          <w:sz w:val="32"/>
          <w:szCs w:val="32"/>
        </w:rPr>
      </w:pPr>
    </w:p>
    <w:p>
      <w:pPr>
        <w:pStyle w:val="15"/>
        <w:shd w:val="clear" w:color="auto" w:fill="auto"/>
        <w:spacing w:before="0" w:beforeAutospacing="0" w:after="0" w:afterAutospacing="0" w:line="560" w:lineRule="exact"/>
        <w:jc w:val="center"/>
        <w:rPr>
          <w:rFonts w:ascii="Times New Roman" w:eastAsia="方正小标宋_GBK" w:hAnsi="Times New Roman" w:hint="eastAsia"/>
          <w:kern w:val="2"/>
          <w:sz w:val="44"/>
          <w:szCs w:val="36"/>
        </w:rPr>
      </w:pPr>
      <w:r>
        <w:rPr>
          <w:rFonts w:ascii="Times New Roman" w:eastAsia="方正小标宋_GBK" w:hAnsi="Times New Roman" w:hint="eastAsia"/>
          <w:kern w:val="2"/>
          <w:sz w:val="44"/>
          <w:szCs w:val="36"/>
        </w:rPr>
        <w:t>中华人民共和国财政部 海关总署</w:t>
      </w:r>
    </w:p>
    <w:p>
      <w:pPr>
        <w:pStyle w:val="15"/>
        <w:shd w:val="clear" w:color="auto" w:fill="auto"/>
        <w:spacing w:before="0" w:beforeAutospacing="0" w:after="0" w:afterAutospacing="0" w:line="560" w:lineRule="exact"/>
        <w:jc w:val="center"/>
        <w:rPr>
          <w:rFonts w:ascii="Times New Roman" w:eastAsia="方正小标宋_GBK" w:hAnsi="Times New Roman" w:hint="eastAsia"/>
          <w:kern w:val="2"/>
          <w:sz w:val="44"/>
          <w:szCs w:val="36"/>
        </w:rPr>
      </w:pPr>
      <w:r>
        <w:rPr>
          <w:rFonts w:ascii="Times New Roman" w:eastAsia="方正小标宋_GBK" w:hAnsi="Times New Roman" w:hint="eastAsia"/>
          <w:kern w:val="2"/>
          <w:sz w:val="44"/>
          <w:szCs w:val="36"/>
        </w:rPr>
        <w:t>国家税务总局公告</w:t>
      </w:r>
    </w:p>
    <w:p>
      <w:pPr>
        <w:pStyle w:val="15"/>
        <w:shd w:val="clear" w:color="auto" w:fill="auto"/>
        <w:spacing w:before="0" w:beforeAutospacing="0" w:after="0" w:afterAutospacing="0" w:line="560" w:lineRule="exact"/>
        <w:jc w:val="both"/>
        <w:rPr>
          <w:rFonts w:ascii="Times New Roman" w:eastAsia="方正仿宋_GBK" w:hAnsi="Times New Roman" w:hint="eastAsia"/>
          <w:kern w:val="2"/>
          <w:sz w:val="32"/>
          <w:szCs w:val="36"/>
        </w:rPr>
      </w:pPr>
    </w:p>
    <w:p>
      <w:pPr>
        <w:pStyle w:val="15"/>
        <w:shd w:val="clear" w:color="auto" w:fill="auto"/>
        <w:spacing w:before="0" w:beforeAutospacing="0" w:after="0" w:afterAutospacing="0" w:line="560" w:lineRule="exact"/>
        <w:jc w:val="center"/>
        <w:rPr>
          <w:rFonts w:ascii="Times New Roman" w:eastAsia="方正楷体_GBK" w:cs="Times New Roman" w:hAnsi="Times New Roman"/>
          <w:kern w:val="2"/>
          <w:sz w:val="32"/>
          <w:szCs w:val="32"/>
        </w:rPr>
      </w:pPr>
      <w:r>
        <w:rPr>
          <w:rFonts w:ascii="Times New Roman" w:eastAsia="方正楷体_GBK" w:cs="Times New Roman" w:hAnsi="Times New Roman"/>
          <w:kern w:val="2"/>
          <w:sz w:val="32"/>
          <w:szCs w:val="32"/>
        </w:rPr>
        <w:t>2015年第102号</w:t>
      </w:r>
    </w:p>
    <w:p>
      <w:pPr>
        <w:pStyle w:val="15"/>
        <w:shd w:val="clear" w:color="auto" w:fill="auto"/>
        <w:spacing w:before="0" w:beforeAutospacing="0" w:after="0" w:afterAutospacing="0" w:line="560" w:lineRule="exact"/>
        <w:jc w:val="both"/>
        <w:rPr>
          <w:rFonts w:ascii="Times New Roman" w:eastAsia="方正仿宋_GBK" w:hAnsi="Times New Roman" w:hint="eastAsia"/>
          <w:kern w:val="2"/>
          <w:sz w:val="32"/>
          <w:szCs w:val="32"/>
        </w:rPr>
      </w:pP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hint="eastAsia"/>
          <w:kern w:val="2"/>
          <w:sz w:val="32"/>
          <w:szCs w:val="32"/>
        </w:rPr>
      </w:pPr>
      <w:r>
        <w:rPr>
          <w:rFonts w:ascii="Times New Roman" w:eastAsia="方正仿宋_GBK" w:hAnsi="Times New Roman" w:hint="eastAsia"/>
          <w:kern w:val="2"/>
          <w:sz w:val="32"/>
          <w:szCs w:val="32"/>
        </w:rPr>
        <w:t>经国务院批准，现公布《慈善捐赠物资免征进口税收暂行办法》，自2016年4月1日起实施。《财政部 国家税务总局 海关总署关于发布〈扶贫、慈善性捐赠物资免征进口税收暂行办法〉的通知》（财税〔2000〕152号）同时废止。</w:t>
      </w:r>
    </w:p>
    <w:p>
      <w:pPr>
        <w:pStyle w:val="15"/>
        <w:shd w:val="clear" w:color="auto" w:fill="auto"/>
        <w:spacing w:before="0" w:beforeAutospacing="0" w:after="0" w:afterAutospacing="0" w:line="560" w:lineRule="exact"/>
        <w:ind w:left="0"/>
        <w:jc w:val="both"/>
        <w:rPr>
          <w:rFonts w:ascii="Times New Roman" w:eastAsia="方正仿宋_GBK" w:hAnsi="Times New Roman"/>
          <w:kern w:val="2"/>
          <w:sz w:val="32"/>
          <w:szCs w:val="32"/>
        </w:rPr>
      </w:pPr>
    </w:p>
    <w:p>
      <w:pPr>
        <w:pStyle w:val="15"/>
        <w:shd w:val="clear" w:color="auto" w:fill="auto"/>
        <w:spacing w:before="0" w:beforeAutospacing="0" w:after="0" w:afterAutospacing="0" w:line="560" w:lineRule="exact"/>
        <w:ind w:left="0"/>
        <w:jc w:val="both"/>
        <w:rPr>
          <w:rFonts w:ascii="Times New Roman" w:eastAsia="方正仿宋_GBK" w:hAnsi="Times New Roman"/>
          <w:kern w:val="2"/>
          <w:sz w:val="32"/>
          <w:szCs w:val="32"/>
        </w:rPr>
      </w:pPr>
    </w:p>
    <w:p>
      <w:pPr>
        <w:pStyle w:val="15"/>
        <w:shd w:val="clear" w:color="auto" w:fill="auto"/>
        <w:wordWrap w:val="0"/>
        <w:spacing w:before="0" w:beforeAutospacing="0" w:after="0" w:afterAutospacing="0" w:line="560" w:lineRule="exact"/>
        <w:jc w:val="right"/>
        <w:rPr>
          <w:rFonts w:ascii="Times New Roman" w:eastAsia="方正仿宋_GBK" w:hAnsi="Times New Roman" w:hint="eastAsia"/>
          <w:kern w:val="2"/>
          <w:sz w:val="32"/>
          <w:szCs w:val="32"/>
        </w:rPr>
      </w:pPr>
      <w:r>
        <w:rPr>
          <w:rFonts w:ascii="Times New Roman" w:eastAsia="方正仿宋_GBK" w:hAnsi="Times New Roman" w:hint="eastAsia"/>
          <w:kern w:val="2"/>
          <w:sz w:val="32"/>
          <w:szCs w:val="32"/>
        </w:rPr>
        <w:t>财政部 海关总署 国家税务总局</w:t>
      </w:r>
      <w:r>
        <w:rPr>
          <w:rFonts w:ascii="Times New Roman" w:eastAsia="方正仿宋_GBK" w:hAnsi="Times New Roman"/>
          <w:kern w:val="2"/>
          <w:sz w:val="32"/>
          <w:szCs w:val="32"/>
        </w:rPr>
        <w:t xml:space="preserve">  </w:t>
      </w:r>
    </w:p>
    <w:p>
      <w:pPr>
        <w:pStyle w:val="15"/>
        <w:shd w:val="clear" w:color="auto" w:fill="auto"/>
        <w:wordWrap w:val="0"/>
        <w:spacing w:before="0" w:beforeAutospacing="0" w:after="0" w:afterAutospacing="0" w:line="560" w:lineRule="exact"/>
        <w:jc w:val="right"/>
        <w:rPr>
          <w:rFonts w:ascii="Times New Roman" w:eastAsia="方正仿宋_GBK" w:hAnsi="Times New Roman"/>
          <w:kern w:val="2"/>
          <w:sz w:val="32"/>
          <w:szCs w:val="32"/>
        </w:rPr>
      </w:pPr>
      <w:r>
        <w:rPr>
          <w:rFonts w:ascii="Times New Roman" w:eastAsia="方正仿宋_GBK" w:hAnsi="Times New Roman" w:hint="eastAsia"/>
          <w:kern w:val="2"/>
          <w:sz w:val="32"/>
          <w:szCs w:val="32"/>
        </w:rPr>
        <w:t>2015年12月23日</w:t>
      </w:r>
      <w:r>
        <w:rPr>
          <w:rFonts w:ascii="Times New Roman" w:eastAsia="方正仿宋_GBK" w:hAnsi="Times New Roman"/>
          <w:kern w:val="2"/>
          <w:sz w:val="32"/>
          <w:szCs w:val="32"/>
        </w:rPr>
        <w:t xml:space="preserve">       </w:t>
      </w:r>
    </w:p>
    <w:p>
      <w:pPr>
        <w:pStyle w:val="15"/>
        <w:shd w:val="clear" w:color="auto" w:fill="auto"/>
        <w:spacing w:before="0" w:beforeAutospacing="0" w:after="0" w:afterAutospacing="0" w:line="560" w:lineRule="exact"/>
        <w:ind w:left="0"/>
        <w:jc w:val="both"/>
        <w:rPr>
          <w:rFonts w:ascii="Times New Roman" w:eastAsia="方正仿宋_GBK" w:hAnsi="Times New Roman" w:hint="eastAsia"/>
          <w:kern w:val="2"/>
          <w:sz w:val="32"/>
          <w:szCs w:val="32"/>
        </w:rPr>
      </w:pPr>
    </w:p>
    <w:p>
      <w:pPr>
        <w:pStyle w:val="15"/>
        <w:shd w:val="clear" w:color="auto" w:fill="auto"/>
        <w:spacing w:before="0" w:beforeAutospacing="0" w:after="0" w:afterAutospacing="0" w:line="560" w:lineRule="exact"/>
        <w:ind w:left="0"/>
        <w:jc w:val="both"/>
        <w:rPr>
          <w:rFonts w:ascii="Times New Roman" w:eastAsia="方正仿宋_GBK" w:hAnsi="Times New Roman" w:hint="eastAsia"/>
          <w:kern w:val="2"/>
          <w:sz w:val="32"/>
          <w:szCs w:val="32"/>
        </w:rPr>
      </w:pPr>
    </w:p>
    <w:p>
      <w:pPr>
        <w:pStyle w:val="15"/>
        <w:shd w:val="clear" w:color="auto" w:fill="auto"/>
        <w:spacing w:before="0" w:beforeAutospacing="0" w:after="0" w:afterAutospacing="0" w:line="560" w:lineRule="exact"/>
        <w:ind w:left="0"/>
        <w:jc w:val="center"/>
        <w:rPr>
          <w:rFonts w:ascii="Times New Roman" w:eastAsia="方正小标宋_GBK" w:hAnsi="Times New Roman" w:hint="eastAsia"/>
          <w:kern w:val="2"/>
          <w:sz w:val="44"/>
          <w:szCs w:val="32"/>
        </w:rPr>
      </w:pPr>
      <w:r>
        <w:rPr>
          <w:rFonts w:ascii="Times New Roman" w:eastAsia="方正小标宋_GBK" w:hAnsi="Times New Roman" w:hint="eastAsia"/>
          <w:kern w:val="2"/>
          <w:sz w:val="44"/>
          <w:szCs w:val="32"/>
        </w:rPr>
        <w:t>慈善捐赠物资免征进口税收暂行办法</w:t>
      </w:r>
    </w:p>
    <w:p>
      <w:pPr>
        <w:pStyle w:val="15"/>
        <w:shd w:val="clear" w:color="auto" w:fill="auto"/>
        <w:spacing w:before="0" w:beforeAutospacing="0" w:after="0" w:afterAutospacing="0" w:line="560" w:lineRule="exact"/>
        <w:ind w:left="0"/>
        <w:jc w:val="both"/>
        <w:rPr>
          <w:rFonts w:ascii="Times New Roman" w:eastAsia="方正仿宋_GBK" w:hAnsi="Times New Roman"/>
          <w:kern w:val="2"/>
          <w:sz w:val="32"/>
          <w:szCs w:val="32"/>
        </w:rPr>
      </w:pP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黑体_GBK" w:hAnsi="Times New Roman" w:hint="eastAsia"/>
          <w:kern w:val="2"/>
          <w:sz w:val="32"/>
          <w:szCs w:val="32"/>
        </w:rPr>
        <w:t xml:space="preserve">第一条 </w:t>
      </w:r>
      <w:r>
        <w:rPr>
          <w:rFonts w:ascii="Times New Roman" w:eastAsia="方正仿宋_GBK" w:hAnsi="Times New Roman" w:hint="eastAsia"/>
          <w:kern w:val="2"/>
          <w:sz w:val="32"/>
          <w:szCs w:val="32"/>
        </w:rPr>
        <w:t>为促进慈善事业的健康发展，支持慈善事业发挥扶贫济困积极作用，规范对慈善事业捐赠物资的进口管理，根据《中华人民共和国公益事业捐赠法》《中华人民共和国海关法》和《中华人民共和国进出口关税条例》等有关规定，制定本办法。</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黑体_GBK" w:hAnsi="Times New Roman" w:hint="eastAsia"/>
          <w:kern w:val="2"/>
          <w:sz w:val="32"/>
          <w:szCs w:val="32"/>
          <w:bdr w:val="none" w:sz="0" w:space="0" w:color="auto"/>
        </w:rPr>
        <w:t>第二条</w:t>
      </w:r>
      <w:r>
        <w:rPr>
          <w:rFonts w:ascii="Times New Roman" w:eastAsia="方正仿宋_GBK" w:hAnsi="Times New Roman" w:hint="eastAsia"/>
          <w:kern w:val="2"/>
          <w:sz w:val="32"/>
          <w:szCs w:val="32"/>
        </w:rPr>
        <w:t xml:space="preserve"> 对境外捐赠人无偿向受赠人捐赠的直接用于慈善事业的物资，免征进口关税和进口环节增值税。</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黑体_GBK" w:hAnsi="Times New Roman" w:hint="eastAsia"/>
          <w:kern w:val="2"/>
          <w:sz w:val="32"/>
          <w:szCs w:val="32"/>
          <w:bdr w:val="none" w:sz="0" w:space="0" w:color="auto"/>
        </w:rPr>
        <w:t>第三条</w:t>
      </w:r>
      <w:r>
        <w:rPr>
          <w:rFonts w:ascii="Times New Roman" w:eastAsia="方正仿宋_GBK" w:hAnsi="Times New Roman" w:hint="eastAsia"/>
          <w:kern w:val="2"/>
          <w:sz w:val="32"/>
          <w:szCs w:val="32"/>
        </w:rPr>
        <w:t xml:space="preserve"> 本办法所称慈善事业是指非营利的慈善救助等社会慈善和福利事业，包括以捐赠财产方式自愿开展的下列慈善活动：</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（一）扶贫济困，扶助老幼病残等困难群体；</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（二）促进教育、科学、文化、卫生、体育等事业的发展；</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（三）防治污染和其他公害，保护和改善环境；</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（四）符合社会公共利益的其他慈善活动。</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黑体_GBK" w:hAnsi="Times New Roman" w:hint="eastAsia"/>
          <w:kern w:val="2"/>
          <w:sz w:val="32"/>
          <w:szCs w:val="32"/>
          <w:bdr w:val="none" w:sz="0" w:space="0" w:color="auto"/>
        </w:rPr>
        <w:t>第四条</w:t>
      </w:r>
      <w:r>
        <w:rPr>
          <w:rFonts w:ascii="Times New Roman" w:eastAsia="方正仿宋_GBK" w:hAnsi="Times New Roman" w:hint="eastAsia"/>
          <w:kern w:val="2"/>
          <w:sz w:val="32"/>
          <w:szCs w:val="32"/>
        </w:rPr>
        <w:t xml:space="preserve"> 本办法所称境外捐赠人是指中华人民共和国关境外的自然人、法人或者其他组织。</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黑体_GBK" w:hAnsi="Times New Roman" w:hint="eastAsia"/>
          <w:kern w:val="2"/>
          <w:sz w:val="32"/>
          <w:szCs w:val="32"/>
          <w:bdr w:val="none" w:sz="0" w:space="0" w:color="auto"/>
        </w:rPr>
        <w:t>第五条</w:t>
      </w:r>
      <w:r>
        <w:rPr>
          <w:rFonts w:ascii="Times New Roman" w:eastAsia="方正仿宋_GBK" w:hAnsi="Times New Roman" w:hint="eastAsia"/>
          <w:kern w:val="2"/>
          <w:sz w:val="32"/>
          <w:szCs w:val="32"/>
        </w:rPr>
        <w:t xml:space="preserve"> 本办法所称受赠人是指：</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（一）国务院有关部门和各省、自治区、直辖市人民政府。</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（二）中国红十字会总会、中华全国妇女联合会、中国残疾人联合会、中华慈善总会、中国初级卫生保健基金会、中国宋庆龄基金会和中国癌症基金会。</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三）经民政部或省级民政部门登记注册且被评定为5A级的以人道救助和发展慈善事业为宗旨的社会团体或基金会。民政部或省级民政部门负责出具证明有关社会团体或基金会符合本办法规定的受赠人条件的文件。</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黑体_GBK" w:hAnsi="Times New Roman" w:hint="eastAsia"/>
          <w:kern w:val="2"/>
          <w:sz w:val="32"/>
          <w:szCs w:val="32"/>
          <w:bdr w:val="none" w:sz="0" w:space="0" w:color="auto"/>
        </w:rPr>
        <w:t>第六条</w:t>
      </w:r>
      <w:r>
        <w:rPr>
          <w:rFonts w:ascii="Times New Roman" w:eastAsia="方正仿宋_GBK" w:hAnsi="Times New Roman" w:hint="eastAsia"/>
          <w:kern w:val="2"/>
          <w:sz w:val="32"/>
          <w:szCs w:val="32"/>
        </w:rPr>
        <w:t xml:space="preserve"> 本办法所称用于慈善事业的物资是指：</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（一）衣服、被褥、鞋帽、帐篷、手套、睡袋、毛毯及其他生活必需用品等。</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（二）食品类及饮用水（调味品、水产品、水果、饮料、烟酒等除外）。</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（三）医疗类包括医疗药品、医疗器械、医疗书籍和资料。其中，对于医疗药品及医疗器械捐赠进口，按照相关部门有关规定执行。</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四）直接用于公共图书馆、公共博物馆、各类职业学校、高中、初中、小学、幼儿园教育的教学仪器、教材、图书、资料和一般学习用品。其中，教学仪器是指专用于教学的检验、观察、计量、演示用的仪器和器具；一般学习用品是指用于各类职业学校、高中、初中、小学、幼儿园教学和学生专用的文具、教具、体育用品、婴幼儿玩具、标本、模型、切片、各类学习软件、实验室用器皿和试剂、学生校服（含鞋帽）和书包等。</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五）直接用于环境保护的专用仪器。包括环保系统专用的空气质量与污染源废气监测仪器及治理设备、环境水质与污水监测仪器及治理设备、环境污染事故应急监测仪器、固体废物监测仪器及处置设备、辐射防护与电磁辐射监测仪器及设备、生态保护监测仪器及设备、噪声及振动监测仪器和实验室通用分析仪器及设备。</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（六）经国务院批准的其他直接用于慈善事业的物资。</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仿宋_GBK" w:hAnsi="Times New Roman" w:hint="eastAsia"/>
          <w:kern w:val="2"/>
          <w:sz w:val="32"/>
          <w:szCs w:val="32"/>
        </w:rPr>
        <w:t>本办法所称用于慈善事业的物资不包括国家明令停止减免进口税收的特定商品以及汽车、生产性设备、生产性原材料及半成品等。捐赠物资应为未经使用的物品（其中，食品类及饮用水、医疗药品应在保质期内），在捐赠物资内不得夹带危害环境、公共卫生和社会道德及进行政治渗透等违禁物品。</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黑体_GBK" w:hAnsi="Times New Roman" w:hint="eastAsia"/>
          <w:kern w:val="2"/>
          <w:sz w:val="32"/>
          <w:szCs w:val="32"/>
          <w:bdr w:val="none" w:sz="0" w:space="0" w:color="auto"/>
        </w:rPr>
        <w:t>第七条</w:t>
      </w:r>
      <w:r>
        <w:rPr>
          <w:rFonts w:ascii="Times New Roman" w:eastAsia="方正仿宋_GBK" w:hAnsi="Times New Roman" w:hint="eastAsia"/>
          <w:kern w:val="2"/>
          <w:sz w:val="32"/>
          <w:szCs w:val="32"/>
        </w:rPr>
        <w:t xml:space="preserve"> 国际和外国医疗机构在我国从事慈善和人道医疗救助活动，供免费使用的医疗药品和器械及在治疗过程中使用的消耗性的医用卫生材料比照本办法执行。</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黑体_GBK" w:hAnsi="Times New Roman" w:hint="eastAsia"/>
          <w:kern w:val="2"/>
          <w:sz w:val="32"/>
          <w:szCs w:val="32"/>
          <w:bdr w:val="none" w:sz="0" w:space="0" w:color="auto"/>
        </w:rPr>
        <w:t>第八条</w:t>
      </w:r>
      <w:r>
        <w:rPr>
          <w:rFonts w:ascii="Times New Roman" w:eastAsia="方正仿宋_GBK" w:hAnsi="Times New Roman" w:hint="eastAsia"/>
          <w:kern w:val="2"/>
          <w:sz w:val="32"/>
          <w:szCs w:val="32"/>
        </w:rPr>
        <w:t xml:space="preserve"> 符合本办法规定的进口捐赠物资，由受赠人向海关申请办理减免税手续，海关按规定进行审核确认。经审核同意免税进口的捐赠物资，由海关按规定进行监管。</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黑体_GBK" w:hAnsi="Times New Roman" w:hint="eastAsia"/>
          <w:kern w:val="2"/>
          <w:sz w:val="32"/>
          <w:szCs w:val="32"/>
          <w:bdr w:val="none" w:sz="0" w:space="0" w:color="auto"/>
        </w:rPr>
        <w:t>第九条</w:t>
      </w:r>
      <w:r>
        <w:rPr>
          <w:rFonts w:ascii="Times New Roman" w:eastAsia="方正仿宋_GBK" w:hAnsi="Times New Roman" w:hint="eastAsia"/>
          <w:kern w:val="2"/>
          <w:sz w:val="32"/>
          <w:szCs w:val="32"/>
        </w:rPr>
        <w:t xml:space="preserve"> 进口的捐赠物资按国家规定属于配额、特定登记和进口许可证管理的商品的，受赠人应当向有关部门申请配额、登记证明和进口许可证，海关凭证验放。</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黑体_GBK" w:hAnsi="Times New Roman" w:hint="eastAsia"/>
          <w:kern w:val="2"/>
          <w:sz w:val="32"/>
          <w:szCs w:val="32"/>
          <w:bdr w:val="none" w:sz="0" w:space="0" w:color="auto"/>
        </w:rPr>
        <w:t>第十条</w:t>
      </w:r>
      <w:r>
        <w:rPr>
          <w:rFonts w:ascii="Times New Roman" w:eastAsia="方正仿宋_GBK" w:hAnsi="Times New Roman" w:hint="eastAsia"/>
          <w:kern w:val="2"/>
          <w:sz w:val="32"/>
          <w:szCs w:val="32"/>
        </w:rPr>
        <w:t xml:space="preserve"> 经审核同意免税进口的捐赠物资，依照《中华人民共和国公益事业捐赠法》第三章有关条款进行使用和管理。</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黑体_GBK" w:hAnsi="Times New Roman" w:hint="eastAsia"/>
          <w:kern w:val="2"/>
          <w:sz w:val="32"/>
          <w:szCs w:val="32"/>
          <w:bdr w:val="none" w:sz="0" w:space="0" w:color="auto"/>
        </w:rPr>
        <w:t>第十一条</w:t>
      </w:r>
      <w:r>
        <w:rPr>
          <w:rFonts w:ascii="Times New Roman" w:eastAsia="方正仿宋_GBK" w:hAnsi="Times New Roman" w:hint="eastAsia"/>
          <w:kern w:val="2"/>
          <w:sz w:val="32"/>
          <w:szCs w:val="32"/>
        </w:rPr>
        <w:t xml:space="preserve"> 免税进口的捐赠物资，未经海关审核同意，不得擅自转让、抵押、质押、移作他用或者进行其他处置。如有违反，按国家有关法律、法规和海关相关管理规定处理。</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黑体_GBK" w:hAnsi="Times New Roman" w:hint="eastAsia"/>
          <w:kern w:val="2"/>
          <w:sz w:val="32"/>
          <w:szCs w:val="32"/>
          <w:bdr w:val="none" w:sz="0" w:space="0" w:color="auto"/>
        </w:rPr>
        <w:t>第十二条</w:t>
      </w:r>
      <w:r>
        <w:rPr>
          <w:rFonts w:ascii="Times New Roman" w:eastAsia="方正仿宋_GBK" w:hAnsi="Times New Roman" w:hint="eastAsia"/>
          <w:kern w:val="2"/>
          <w:sz w:val="32"/>
          <w:szCs w:val="32"/>
        </w:rPr>
        <w:t xml:space="preserve"> 本办法由财政部会同海关总署、国家税务总局解释。</w:t>
      </w:r>
    </w:p>
    <w:p>
      <w:pPr>
        <w:pStyle w:val="15"/>
        <w:shd w:val="clear" w:color="auto" w:fill="auto"/>
        <w:spacing w:before="0" w:beforeAutospacing="0" w:after="0" w:afterAutospacing="0" w:line="560" w:lineRule="exact"/>
        <w:ind w:firstLineChars="200" w:firstLine="640"/>
        <w:jc w:val="both"/>
        <w:rPr>
          <w:rFonts w:ascii="Times New Roman" w:eastAsia="方正仿宋_GBK" w:hAnsi="Times New Roman"/>
          <w:kern w:val="2"/>
          <w:sz w:val="32"/>
          <w:szCs w:val="32"/>
        </w:rPr>
      </w:pPr>
      <w:r>
        <w:rPr>
          <w:rFonts w:ascii="Times New Roman" w:eastAsia="方正黑体_GBK" w:hAnsi="Times New Roman" w:hint="eastAsia"/>
          <w:kern w:val="2"/>
          <w:sz w:val="32"/>
          <w:szCs w:val="32"/>
          <w:bdr w:val="none" w:sz="0" w:space="0" w:color="auto"/>
        </w:rPr>
        <w:t>第十三条</w:t>
      </w:r>
      <w:r>
        <w:rPr>
          <w:rFonts w:ascii="Times New Roman" w:eastAsia="方正仿宋_GBK" w:hAnsi="Times New Roman" w:hint="eastAsia"/>
          <w:kern w:val="2"/>
          <w:sz w:val="32"/>
          <w:szCs w:val="32"/>
        </w:rPr>
        <w:t xml:space="preserve"> 海关总署根据本办法制定具体实施办法。</w:t>
      </w:r>
    </w:p>
    <w:p>
      <w:pPr>
        <w:pStyle w:val="15"/>
        <w:shd w:val="clear" w:color="auto" w:fill="auto"/>
        <w:spacing w:before="0" w:beforeAutospacing="0" w:after="0" w:afterAutospacing="0" w:line="560" w:lineRule="exact"/>
        <w:ind w:firstLineChars="200" w:firstLine="640"/>
        <w:rPr>
          <w:rFonts w:ascii="Times New Roman" w:eastAsia="方正仿宋_GBK" w:hAnsi="Times New Roman"/>
          <w:kern w:val="2"/>
          <w:sz w:val="32"/>
          <w:szCs w:val="32"/>
        </w:rPr>
      </w:pPr>
      <w:r>
        <w:rPr>
          <w:rFonts w:ascii="Times New Roman" w:eastAsia="方正黑体_GBK" w:hAnsi="Times New Roman" w:hint="eastAsia"/>
          <w:kern w:val="2"/>
          <w:sz w:val="32"/>
          <w:szCs w:val="32"/>
          <w:bdr w:val="none" w:sz="0" w:space="0" w:color="auto"/>
        </w:rPr>
        <w:t>第十四条</w:t>
      </w:r>
      <w:r>
        <w:rPr>
          <w:rFonts w:ascii="Times New Roman" w:eastAsia="方正仿宋_GBK" w:hAnsi="Times New Roman" w:hint="eastAsia"/>
          <w:kern w:val="2"/>
          <w:sz w:val="32"/>
          <w:szCs w:val="32"/>
        </w:rPr>
        <w:t xml:space="preserve"> 本办法自2016年4月1日起施行，《财政部 国家税务总局 海关总署关于发布〈扶贫、慈善性捐赠物资免征进口税收暂行办法〉的通知》（财税〔2000〕152号）同时废止。</w:t>
      </w:r>
    </w:p>
    <w:p>
      <w:pPr>
        <w:pStyle w:val="15"/>
        <w:shd w:val="clear" w:color="auto" w:fill="auto"/>
        <w:spacing w:before="0" w:beforeAutospacing="0" w:after="0" w:afterAutospacing="0" w:line="560" w:lineRule="exact"/>
        <w:ind w:left="0"/>
        <w:jc w:val="both"/>
        <w:rPr>
          <w:rFonts w:ascii="仿宋" w:eastAsia="仿宋"/>
          <w:color w:val="333333"/>
          <w:spacing w:val="8"/>
          <w:sz w:val="32"/>
          <w:szCs w:val="32"/>
        </w:rPr>
      </w:pPr>
    </w:p>
    <w:sectPr>
      <w:footerReference w:type="default" r:id="rId2"/>
      <w:footerReference w:type="even" r:id="rId3"/>
      <w:pgSz w:w="11906" w:h="16838"/>
      <w:pgMar w:top="1440" w:right="1800" w:bottom="1440" w:left="1800"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variable"/>
    <w:sig w:usb0="00000001" w:usb1="080E0000" w:usb2="00000010" w:usb3="00000000" w:csb0="00040000" w:csb1="00000000"/>
  </w:font>
  <w:font w:name="方正仿宋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方正楷体_GBK">
    <w:panose1 w:val="03000509000000000000"/>
    <w:charset w:val="86"/>
    <w:family w:val="script"/>
    <w:pitch w:val="variable"/>
    <w:sig w:usb0="00000001" w:usb1="080E0000" w:usb2="00000000" w:usb3="00000000" w:csb0="00040000" w:csb1="00000000"/>
  </w:font>
  <w:font w:name="仿宋">
    <w:altName w:val="Arial Unicode MS"/>
    <w:panose1 w:val="02010609060101010101"/>
    <w:charset w:val="86"/>
    <w:family w:val="modern"/>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34"/>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3"/>
      </w:rPr>
      <w:fldChar w:fldCharType="begin"/>
    </w:r>
    <w:r>
      <w:rPr>
        <w:rStyle w:val="43"/>
      </w:rPr>
      <w:instrText>Page</w:instrText>
    </w:r>
    <w:r>
      <w:rPr>
        <w:rStyle w:val="43"/>
      </w:rPr>
      <w:fldChar w:fldCharType="separate"/>
    </w:r>
    <w:r>
      <w:rPr>
        <w:rStyle w:val="43"/>
      </w:rPr>
      <w:t>1</w:t>
    </w:r>
    <w:r>
      <w:rPr>
        <w:rStyle w:val="43"/>
      </w:rPr>
      <w:fldChar w:fldCharType="end"/>
    </w:r>
  </w:p>
  <w:p>
    <w:pPr>
      <w:pStyle w:val="34"/>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34"/>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43"/>
      </w:rPr>
      <w:fldChar w:fldCharType="begin"/>
    </w:r>
    <w:r>
      <w:rPr>
        <w:rStyle w:val="43"/>
      </w:rPr>
      <w:instrText>Page</w:instrText>
    </w:r>
    <w:r>
      <w:rPr>
        <w:rStyle w:val="43"/>
      </w:rPr>
      <w:fldChar w:fldCharType="separate"/>
    </w:r>
    <w:r>
      <w:rPr>
        <w:rStyle w:val="43"/>
      </w:rPr>
      <w:t>1</w:t>
    </w:r>
    <w:r>
      <w:rPr>
        <w:rStyle w:val="43"/>
      </w:rPr>
      <w:fldChar w:fldCharType="end"/>
    </w:r>
  </w:p>
  <w:p>
    <w:pPr>
      <w:pStyle w:val="34"/>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Normal (Web)"/>
    <w:pPr>
      <w:widowControl/>
      <w:spacing w:before="100" w:beforeAutospacing="1" w:after="100" w:afterAutospacing="1"/>
      <w:jc w:val="left"/>
    </w:pPr>
    <w:rPr>
      <w:rFonts w:ascii="宋体" w:eastAsia="宋体" w:cs="宋体"/>
      <w:kern w:val="0"/>
      <w:sz w:val="24"/>
      <w:szCs w:val="24"/>
      <w:lang w:val="en-US" w:eastAsia="zh-CN" w:bidi="ar-SA"/>
    </w:rPr>
  </w:style>
  <w:style w:type="paragraph" w:styleId="34">
    <w:name w:val="footer"/>
    <w:basedOn w:val="0"/>
    <w:pPr>
      <w:tabs>
        <w:tab w:val="center" w:pos="4153"/>
        <w:tab w:val="right" w:pos="8307"/>
      </w:tabs>
      <w:snapToGrid w:val="0"/>
      <w:jc w:val="left"/>
    </w:pPr>
    <w:rPr>
      <w:sz w:val="18"/>
    </w:rPr>
  </w:style>
  <w:style w:type="character" w:styleId="43">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Application>
  <Pages>5</Pages>
  <Words>1792</Words>
  <Characters>1819</Characters>
  <Lines>97</Lines>
  <Paragraphs>36</Paragraphs>
  <CharactersWithSpaces>1849</CharactersWithSpaces>
  <Company>P R C</Company>
</Properties>
</file>

<file path=docProps/core.xml><?xml version="1.0" encoding="utf-8"?>
<cp:coreProperties xmlns:cp="http://schemas.openxmlformats.org/package/2006/metadata/core-properties" xmlns:dc="http://purl.org/dc/elements/1.1/" xmlns:dcterms="http://purl.org/dc/terms/" xmlns:xsi="http://www.w3.org/2001/XMLSchema-instance">
  <dc:creator>2319540</dc:creator>
  <cp:lastModifiedBy>李昀陶</cp:lastModifiedBy>
  <cp:revision>1</cp:revision>
  <cp:lastPrinted>2020-01-26T06:47:08Z</cp:lastPrinted>
  <dcterms:created xsi:type="dcterms:W3CDTF">2020-01-26T05:08:00Z</dcterms:created>
  <dcterms:modified xsi:type="dcterms:W3CDTF">2020-01-26T06:47:12Z</dcterms:modified>
</cp:coreProperties>
</file>