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right"/>
        <w:rPr>
          <w:rFonts w:ascii="仿宋_GB2312" w:eastAsia="仿宋_GB2312"/>
          <w:sz w:val="32"/>
          <w:szCs w:val="32"/>
        </w:rPr>
      </w:pPr>
      <w:bookmarkStart w:id="0" w:name="_GoBack"/>
      <w:bookmarkEnd w:id="0"/>
    </w:p>
    <w:p>
      <w:pPr>
        <w:ind w:firstLine="645"/>
        <w:jc w:val="right"/>
        <w:rPr>
          <w:rFonts w:ascii="仿宋_GB2312" w:eastAsia="仿宋_GB2312"/>
          <w:sz w:val="32"/>
          <w:szCs w:val="32"/>
        </w:rPr>
      </w:pPr>
    </w:p>
    <w:p>
      <w:pPr>
        <w:ind w:firstLine="645"/>
        <w:jc w:val="right"/>
        <w:rPr>
          <w:rFonts w:ascii="仿宋_GB2312" w:eastAsia="仿宋_GB2312"/>
          <w:sz w:val="32"/>
          <w:szCs w:val="32"/>
        </w:rPr>
      </w:pPr>
    </w:p>
    <w:p>
      <w:pPr>
        <w:ind w:firstLine="645"/>
        <w:jc w:val="right"/>
        <w:rPr>
          <w:rFonts w:ascii="仿宋" w:hAnsi="仿宋" w:eastAsia="仿宋" w:cs="仿宋"/>
          <w:sz w:val="32"/>
          <w:szCs w:val="32"/>
        </w:rPr>
      </w:pPr>
      <w:r>
        <w:rPr>
          <w:rFonts w:hint="eastAsia" w:ascii="仿宋_GB2312" w:eastAsia="仿宋_GB2312"/>
          <w:sz w:val="32"/>
          <w:szCs w:val="32"/>
        </w:rPr>
        <w:t>商</w:t>
      </w:r>
      <w:r>
        <w:rPr>
          <w:rFonts w:hint="eastAsia" w:ascii="仿宋" w:hAnsi="仿宋" w:eastAsia="仿宋" w:cs="仿宋"/>
          <w:sz w:val="32"/>
          <w:szCs w:val="32"/>
        </w:rPr>
        <w:t>合函〔2019〕</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号</w:t>
      </w:r>
    </w:p>
    <w:p>
      <w:pPr>
        <w:ind w:firstLine="645"/>
        <w:jc w:val="right"/>
        <w:rPr>
          <w:rFonts w:ascii="微软雅黑" w:hAnsi="微软雅黑" w:eastAsia="微软雅黑" w:cs="微软雅黑"/>
          <w:sz w:val="32"/>
          <w:szCs w:val="32"/>
        </w:rPr>
      </w:pPr>
    </w:p>
    <w:p>
      <w:pPr>
        <w:ind w:firstLine="645"/>
        <w:jc w:val="right"/>
        <w:rPr>
          <w:rFonts w:ascii="微软雅黑" w:hAnsi="微软雅黑" w:eastAsia="微软雅黑" w:cs="微软雅黑"/>
          <w:sz w:val="32"/>
          <w:szCs w:val="32"/>
        </w:rPr>
      </w:pPr>
    </w:p>
    <w:p>
      <w:pPr>
        <w:spacing w:line="480" w:lineRule="auto"/>
        <w:ind w:firstLine="645"/>
        <w:jc w:val="center"/>
        <w:rPr>
          <w:rFonts w:hint="eastAsia" w:asciiTheme="minorEastAsia" w:hAnsiTheme="minorEastAsia" w:cstheme="minorEastAsia"/>
          <w:b/>
          <w:bCs/>
          <w:sz w:val="40"/>
          <w:szCs w:val="40"/>
        </w:rPr>
      </w:pPr>
      <w:r>
        <w:rPr>
          <w:rFonts w:hint="eastAsia" w:asciiTheme="minorEastAsia" w:hAnsiTheme="minorEastAsia" w:cstheme="minorEastAsia"/>
          <w:b/>
          <w:bCs/>
          <w:sz w:val="40"/>
          <w:szCs w:val="40"/>
        </w:rPr>
        <w:t>商务部关于印发《对外</w:t>
      </w:r>
      <w:r>
        <w:rPr>
          <w:rFonts w:hint="eastAsia" w:asciiTheme="minorEastAsia" w:hAnsiTheme="minorEastAsia" w:cstheme="minorEastAsia"/>
          <w:b/>
          <w:bCs/>
          <w:sz w:val="40"/>
          <w:szCs w:val="40"/>
          <w:lang w:val="en-US" w:eastAsia="zh-CN"/>
        </w:rPr>
        <w:t>承包工程业务</w:t>
      </w:r>
      <w:r>
        <w:rPr>
          <w:rFonts w:hint="eastAsia" w:asciiTheme="minorEastAsia" w:hAnsiTheme="minorEastAsia" w:cstheme="minorEastAsia"/>
          <w:b/>
          <w:bCs/>
          <w:sz w:val="40"/>
          <w:szCs w:val="40"/>
        </w:rPr>
        <w:t>统计</w:t>
      </w:r>
    </w:p>
    <w:p>
      <w:pPr>
        <w:spacing w:line="480" w:lineRule="auto"/>
        <w:ind w:firstLine="645"/>
        <w:jc w:val="center"/>
        <w:rPr>
          <w:rFonts w:hint="eastAsia" w:asciiTheme="minorEastAsia" w:hAnsiTheme="minorEastAsia" w:cstheme="minorEastAsia"/>
          <w:b/>
          <w:bCs/>
          <w:sz w:val="40"/>
          <w:szCs w:val="40"/>
          <w:lang w:val="en-US" w:eastAsia="zh-CN"/>
        </w:rPr>
      </w:pPr>
      <w:r>
        <w:rPr>
          <w:rFonts w:hint="eastAsia" w:asciiTheme="minorEastAsia" w:hAnsiTheme="minorEastAsia" w:cstheme="minorEastAsia"/>
          <w:b/>
          <w:bCs/>
          <w:sz w:val="40"/>
          <w:szCs w:val="40"/>
          <w:lang w:val="en-US" w:eastAsia="zh-CN"/>
        </w:rPr>
        <w:t>调查</w:t>
      </w:r>
      <w:r>
        <w:rPr>
          <w:rFonts w:hint="eastAsia" w:asciiTheme="minorEastAsia" w:hAnsiTheme="minorEastAsia" w:cstheme="minorEastAsia"/>
          <w:b/>
          <w:bCs/>
          <w:sz w:val="40"/>
          <w:szCs w:val="40"/>
        </w:rPr>
        <w:t>制度》</w:t>
      </w:r>
      <w:r>
        <w:rPr>
          <w:rFonts w:hint="eastAsia" w:asciiTheme="minorEastAsia" w:hAnsiTheme="minorEastAsia" w:cstheme="minorEastAsia"/>
          <w:b/>
          <w:bCs/>
          <w:sz w:val="40"/>
          <w:szCs w:val="40"/>
          <w:lang w:val="en-US" w:eastAsia="zh-CN"/>
        </w:rPr>
        <w:t>和《对外劳务合作业务统计</w:t>
      </w:r>
    </w:p>
    <w:p>
      <w:pPr>
        <w:spacing w:line="480" w:lineRule="auto"/>
        <w:ind w:firstLine="645"/>
        <w:jc w:val="center"/>
        <w:rPr>
          <w:rFonts w:asciiTheme="minorEastAsia" w:hAnsiTheme="minorEastAsia" w:cstheme="minorEastAsia"/>
          <w:b/>
          <w:bCs/>
          <w:sz w:val="40"/>
          <w:szCs w:val="40"/>
        </w:rPr>
      </w:pPr>
      <w:r>
        <w:rPr>
          <w:rFonts w:hint="eastAsia" w:asciiTheme="minorEastAsia" w:hAnsiTheme="minorEastAsia" w:cstheme="minorEastAsia"/>
          <w:b/>
          <w:bCs/>
          <w:sz w:val="40"/>
          <w:szCs w:val="40"/>
          <w:lang w:val="en-US" w:eastAsia="zh-CN"/>
        </w:rPr>
        <w:t>调查制度》</w:t>
      </w:r>
      <w:r>
        <w:rPr>
          <w:rFonts w:hint="eastAsia" w:asciiTheme="minorEastAsia" w:hAnsiTheme="minorEastAsia" w:cstheme="minorEastAsia"/>
          <w:b/>
          <w:bCs/>
          <w:sz w:val="40"/>
          <w:szCs w:val="40"/>
        </w:rPr>
        <w:t>的通知</w:t>
      </w:r>
    </w:p>
    <w:p>
      <w:pPr>
        <w:spacing w:line="480" w:lineRule="auto"/>
        <w:ind w:firstLine="645"/>
        <w:jc w:val="center"/>
        <w:rPr>
          <w:rFonts w:ascii="仿宋_GB2312" w:eastAsia="仿宋_GB2312"/>
          <w:sz w:val="32"/>
          <w:szCs w:val="32"/>
        </w:rPr>
      </w:pPr>
    </w:p>
    <w:p>
      <w:pPr>
        <w:spacing w:line="480" w:lineRule="auto"/>
        <w:ind w:firstLine="645"/>
        <w:jc w:val="center"/>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各省、自治区、直辖市、计划单列市及新疆生产建设兵团商务主管部门、统计局、外汇局，有关企业、单位：</w:t>
      </w:r>
    </w:p>
    <w:p>
      <w:pPr>
        <w:adjustRightInd w:val="0"/>
        <w:snapToGrid w:val="0"/>
        <w:spacing w:line="360" w:lineRule="auto"/>
        <w:ind w:firstLine="640"/>
        <w:jc w:val="both"/>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napToGrid w:val="0"/>
          <w:kern w:val="0"/>
          <w:sz w:val="32"/>
          <w:szCs w:val="32"/>
        </w:rPr>
        <w:t>《</w:t>
      </w:r>
      <w:r>
        <w:rPr>
          <w:rFonts w:hint="eastAsia" w:ascii="仿宋_GB2312" w:eastAsia="仿宋_GB2312"/>
          <w:sz w:val="32"/>
          <w:szCs w:val="32"/>
        </w:rPr>
        <w:t>部门统计调查项目管理办法》（国家统计局令2017年第22号）的规定，</w:t>
      </w:r>
      <w:r>
        <w:rPr>
          <w:rFonts w:hint="eastAsia" w:ascii="仿宋_GB2312" w:eastAsia="仿宋_GB2312"/>
          <w:sz w:val="32"/>
          <w:szCs w:val="32"/>
          <w:lang w:val="en-US" w:eastAsia="zh-CN"/>
        </w:rPr>
        <w:t>我部</w:t>
      </w:r>
      <w:r>
        <w:rPr>
          <w:rFonts w:hint="eastAsia" w:ascii="仿宋_GB2312" w:eastAsia="仿宋_GB2312"/>
          <w:sz w:val="32"/>
          <w:szCs w:val="32"/>
        </w:rPr>
        <w:t>结合近两年对外</w:t>
      </w:r>
      <w:r>
        <w:rPr>
          <w:rFonts w:hint="eastAsia" w:ascii="仿宋_GB2312" w:eastAsia="仿宋_GB2312"/>
          <w:sz w:val="32"/>
          <w:szCs w:val="32"/>
          <w:lang w:val="en-US" w:eastAsia="zh-CN"/>
        </w:rPr>
        <w:t>承包工程和对外劳务合作</w:t>
      </w:r>
      <w:r>
        <w:rPr>
          <w:rFonts w:hint="eastAsia" w:ascii="仿宋_GB2312" w:eastAsia="仿宋_GB2312"/>
          <w:sz w:val="32"/>
          <w:szCs w:val="32"/>
        </w:rPr>
        <w:t>业务</w:t>
      </w:r>
      <w:r>
        <w:rPr>
          <w:rFonts w:hint="eastAsia" w:ascii="仿宋_GB2312" w:eastAsia="仿宋_GB2312"/>
          <w:sz w:val="32"/>
          <w:szCs w:val="32"/>
          <w:lang w:val="en-US" w:eastAsia="zh-CN"/>
        </w:rPr>
        <w:t>发展情况，对2017年1月下发的《对外承包工程业务统计制度》和《对外劳务合作业务统计制度》进行了修订，并将上述两项制度分别更名为《对外承包工程业务统计调查制度》和《对外劳务合作业务统计调查制度》，经国家统计局批准执行（国统制</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195</w:t>
      </w:r>
      <w:r>
        <w:rPr>
          <w:rFonts w:hint="eastAsia" w:ascii="仿宋" w:hAnsi="仿宋" w:eastAsia="仿宋" w:cs="仿宋"/>
          <w:sz w:val="32"/>
          <w:szCs w:val="32"/>
        </w:rPr>
        <w:t>号</w:t>
      </w:r>
      <w:r>
        <w:rPr>
          <w:rFonts w:hint="eastAsia" w:ascii="仿宋_GB2312" w:eastAsia="仿宋_GB2312"/>
          <w:sz w:val="32"/>
          <w:szCs w:val="32"/>
          <w:lang w:val="en-US" w:eastAsia="zh-CN"/>
        </w:rPr>
        <w:t>）</w:t>
      </w:r>
      <w:r>
        <w:rPr>
          <w:rFonts w:hint="eastAsia" w:ascii="仿宋_GB2312" w:eastAsia="仿宋_GB2312"/>
          <w:sz w:val="32"/>
          <w:szCs w:val="32"/>
        </w:rPr>
        <w:t>。主要</w:t>
      </w:r>
      <w:r>
        <w:rPr>
          <w:rFonts w:hint="eastAsia" w:ascii="仿宋_GB2312" w:eastAsia="仿宋_GB2312"/>
          <w:sz w:val="32"/>
          <w:szCs w:val="32"/>
          <w:lang w:val="en-US" w:eastAsia="zh-CN"/>
        </w:rPr>
        <w:t>修订</w:t>
      </w:r>
      <w:r>
        <w:rPr>
          <w:rFonts w:hint="eastAsia" w:ascii="仿宋_GB2312" w:eastAsia="仿宋_GB2312"/>
          <w:sz w:val="32"/>
          <w:szCs w:val="32"/>
        </w:rPr>
        <w:t>内容如下：</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val="en-US" w:eastAsia="zh-CN"/>
        </w:rPr>
        <w:t>《对外承包工程业务统计调查制度》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根据业务管理变化，调整了统计调查范围。2017年，对外承包工程经营资格取消，统计对象发生变化。为此，修订后的制度将现行统计制度的适用范围由“本制度适用于我国境内的各级商务主管部门和获得对外承包工程经营资格的企业”调整为“本制度适用于我国境内的各级商务主管部门和发生对外承包工程业务的企业或单位”。</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（二）明确部分统计原则。将企业为承揽国（境）外工程项目而设立的境外企业承包的境外工程项目，纳入对外承包工程统计。</w:t>
      </w:r>
    </w:p>
    <w:p>
      <w:pPr>
        <w:spacing w:line="375" w:lineRule="atLeast"/>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（三）增加质量控制内容和附录部分“向国家统计局提供的统计资料清单”。</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lang w:val="en-US" w:eastAsia="zh-CN"/>
        </w:rPr>
        <w:t>二、《对外劳务合作业务统计调查制度》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（一）在“组织方式和渠道”中，将商务部统计管理涉及有关中央管理企业的统计权限下放至地方商务主管部门（即北京市商务局）。</w:t>
      </w:r>
    </w:p>
    <w:p>
      <w:pPr>
        <w:tabs>
          <w:tab w:val="left" w:pos="142"/>
        </w:tabs>
        <w:adjustRightInd w:val="0"/>
        <w:snapToGrid w:val="0"/>
        <w:spacing w:line="360" w:lineRule="auto"/>
        <w:ind w:firstLine="645"/>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（二）增加质量控制内容和附录部分“向国家统计局提供的统计资料清单”。</w:t>
      </w:r>
    </w:p>
    <w:p>
      <w:pPr>
        <w:tabs>
          <w:tab w:val="left" w:pos="142"/>
        </w:tabs>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现将修订后的</w:t>
      </w:r>
      <w:r>
        <w:rPr>
          <w:rFonts w:hint="eastAsia" w:ascii="仿宋_GB2312" w:eastAsia="仿宋_GB2312"/>
          <w:sz w:val="32"/>
          <w:szCs w:val="32"/>
          <w:lang w:val="en-US" w:eastAsia="zh-CN"/>
        </w:rPr>
        <w:t>《对外承包工程业务统计调查制度》和《对外劳务合作业务统计调查制度》</w:t>
      </w:r>
      <w:r>
        <w:rPr>
          <w:rFonts w:hint="eastAsia" w:ascii="仿宋_GB2312" w:eastAsia="仿宋_GB2312"/>
          <w:sz w:val="32"/>
          <w:szCs w:val="32"/>
        </w:rPr>
        <w:t>印发给你们，</w:t>
      </w:r>
      <w:r>
        <w:rPr>
          <w:rFonts w:hint="eastAsia" w:ascii="仿宋_GB2312" w:eastAsia="仿宋_GB2312"/>
          <w:sz w:val="32"/>
          <w:szCs w:val="32"/>
          <w:lang w:val="en-US" w:eastAsia="zh-CN"/>
        </w:rPr>
        <w:t>自</w:t>
      </w:r>
      <w:r>
        <w:rPr>
          <w:rFonts w:hint="eastAsia" w:ascii="仿宋_GB2312" w:eastAsia="仿宋_GB2312"/>
          <w:sz w:val="32"/>
          <w:szCs w:val="32"/>
        </w:rPr>
        <w:t>2019年1月1日起执行</w:t>
      </w:r>
      <w:r>
        <w:rPr>
          <w:rFonts w:hint="eastAsia" w:ascii="仿宋_GB2312" w:eastAsia="仿宋_GB2312"/>
          <w:sz w:val="32"/>
          <w:szCs w:val="32"/>
          <w:lang w:eastAsia="zh-CN"/>
        </w:rPr>
        <w:t>，</w:t>
      </w:r>
      <w:r>
        <w:rPr>
          <w:rFonts w:hint="eastAsia" w:ascii="仿宋_GB2312" w:eastAsia="仿宋_GB2312"/>
          <w:sz w:val="32"/>
          <w:szCs w:val="32"/>
          <w:lang w:val="en-US" w:eastAsia="zh-CN"/>
        </w:rPr>
        <w:t>执行期3年</w:t>
      </w:r>
      <w:r>
        <w:rPr>
          <w:rFonts w:hint="eastAsia" w:ascii="仿宋_GB2312" w:eastAsia="仿宋_GB2312"/>
          <w:sz w:val="32"/>
          <w:szCs w:val="32"/>
        </w:rPr>
        <w:t>。《商务部关于印发&lt;对外</w:t>
      </w:r>
      <w:r>
        <w:rPr>
          <w:rFonts w:hint="eastAsia" w:ascii="仿宋_GB2312" w:eastAsia="仿宋_GB2312"/>
          <w:sz w:val="32"/>
          <w:szCs w:val="32"/>
          <w:lang w:val="en-US" w:eastAsia="zh-CN"/>
        </w:rPr>
        <w:t>承包工程业务</w:t>
      </w:r>
      <w:r>
        <w:rPr>
          <w:rFonts w:hint="eastAsia" w:ascii="仿宋_GB2312" w:eastAsia="仿宋_GB2312"/>
          <w:sz w:val="32"/>
          <w:szCs w:val="32"/>
        </w:rPr>
        <w:t>统计制度&gt;</w:t>
      </w:r>
      <w:r>
        <w:rPr>
          <w:rFonts w:hint="eastAsia" w:ascii="仿宋_GB2312" w:eastAsia="仿宋_GB2312"/>
          <w:sz w:val="32"/>
          <w:szCs w:val="32"/>
          <w:lang w:val="en-US" w:eastAsia="zh-CN"/>
        </w:rPr>
        <w:t>和</w:t>
      </w:r>
      <w:r>
        <w:rPr>
          <w:rFonts w:hint="eastAsia" w:ascii="仿宋_GB2312" w:eastAsia="仿宋_GB2312"/>
          <w:sz w:val="32"/>
          <w:szCs w:val="32"/>
        </w:rPr>
        <w:t>&lt;对外</w:t>
      </w:r>
      <w:r>
        <w:rPr>
          <w:rFonts w:hint="eastAsia" w:ascii="仿宋_GB2312" w:eastAsia="仿宋_GB2312"/>
          <w:sz w:val="32"/>
          <w:szCs w:val="32"/>
          <w:lang w:val="en-US" w:eastAsia="zh-CN"/>
        </w:rPr>
        <w:t>劳务合作业务</w:t>
      </w:r>
      <w:r>
        <w:rPr>
          <w:rFonts w:hint="eastAsia" w:ascii="仿宋_GB2312" w:eastAsia="仿宋_GB2312"/>
          <w:sz w:val="32"/>
          <w:szCs w:val="32"/>
        </w:rPr>
        <w:t>统计制度&gt;的通知》（商合函[201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号）同时废止。</w:t>
      </w:r>
    </w:p>
    <w:p>
      <w:pPr>
        <w:tabs>
          <w:tab w:val="left" w:pos="142"/>
        </w:tabs>
        <w:spacing w:line="480" w:lineRule="auto"/>
        <w:ind w:firstLine="645"/>
        <w:rPr>
          <w:rFonts w:ascii="仿宋_GB2312" w:eastAsia="仿宋_GB2312"/>
          <w:sz w:val="32"/>
          <w:szCs w:val="32"/>
        </w:rPr>
      </w:pPr>
    </w:p>
    <w:p>
      <w:pPr>
        <w:tabs>
          <w:tab w:val="left" w:pos="142"/>
        </w:tabs>
        <w:spacing w:line="480" w:lineRule="auto"/>
        <w:ind w:firstLine="645"/>
        <w:rPr>
          <w:rFonts w:ascii="仿宋_GB2312" w:eastAsia="仿宋_GB2312"/>
          <w:sz w:val="32"/>
          <w:szCs w:val="32"/>
        </w:rPr>
      </w:pP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商</w:t>
      </w:r>
      <w:r>
        <w:rPr>
          <w:rFonts w:hint="eastAsia" w:ascii="仿宋_GB2312" w:eastAsia="仿宋_GB2312"/>
          <w:sz w:val="32"/>
          <w:szCs w:val="32"/>
          <w:lang w:val="en-US" w:eastAsia="zh-CN"/>
        </w:rPr>
        <w:t xml:space="preserve"> </w:t>
      </w:r>
      <w:r>
        <w:rPr>
          <w:rFonts w:hint="eastAsia" w:ascii="仿宋_GB2312" w:eastAsia="仿宋_GB2312"/>
          <w:sz w:val="32"/>
          <w:szCs w:val="32"/>
        </w:rPr>
        <w:t>务</w:t>
      </w:r>
      <w:r>
        <w:rPr>
          <w:rFonts w:hint="eastAsia" w:ascii="仿宋_GB2312" w:eastAsia="仿宋_GB2312"/>
          <w:sz w:val="32"/>
          <w:szCs w:val="32"/>
          <w:lang w:val="en-US" w:eastAsia="zh-CN"/>
        </w:rPr>
        <w:t xml:space="preserve"> </w:t>
      </w:r>
      <w:r>
        <w:rPr>
          <w:rFonts w:hint="eastAsia" w:ascii="仿宋_GB2312" w:eastAsia="仿宋_GB2312"/>
          <w:sz w:val="32"/>
          <w:szCs w:val="32"/>
        </w:rPr>
        <w:t>部</w:t>
      </w:r>
      <w:r>
        <w:rPr>
          <w:rFonts w:hint="eastAsia" w:ascii="仿宋_GB2312" w:eastAsia="仿宋_GB2312"/>
          <w:sz w:val="32"/>
          <w:szCs w:val="32"/>
          <w:lang w:val="en-US" w:eastAsia="zh-CN"/>
        </w:rPr>
        <w:t xml:space="preserve">     </w:t>
      </w: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2019年1月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left="0" w:leftChars="0" w:firstLine="638" w:firstLineChars="228"/>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08" w:lineRule="auto"/>
        <w:ind w:left="0" w:leftChars="0" w:right="0" w:firstLine="638" w:firstLineChars="228"/>
        <w:jc w:val="left"/>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w:t>
      </w:r>
      <w:r>
        <w:rPr>
          <w:rFonts w:hint="eastAsia" w:ascii="仿宋_GB2312" w:hAnsi="宋体" w:eastAsia="仿宋_GB2312" w:cs="宋体"/>
          <w:b w:val="0"/>
          <w:bCs/>
          <w:kern w:val="0"/>
          <w:sz w:val="28"/>
          <w:szCs w:val="28"/>
          <w:lang w:eastAsia="zh-CN"/>
        </w:rPr>
        <w:t>二十五</w:t>
      </w:r>
      <w:r>
        <w:rPr>
          <w:rFonts w:hint="eastAsia" w:ascii="仿宋_GB2312" w:hAnsi="宋体" w:eastAsia="仿宋_GB2312" w:cs="宋体"/>
          <w:b w:val="0"/>
          <w:bCs/>
          <w:kern w:val="0"/>
          <w:sz w:val="28"/>
          <w:szCs w:val="28"/>
        </w:rPr>
        <w:t>条规定：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《对外承包工程管理条例》第</w:t>
      </w:r>
      <w:r>
        <w:rPr>
          <w:rFonts w:hint="eastAsia" w:ascii="仿宋_GB2312" w:hAnsi="宋体" w:eastAsia="仿宋_GB2312" w:cs="宋体"/>
          <w:b w:val="0"/>
          <w:bCs/>
          <w:kern w:val="0"/>
          <w:sz w:val="28"/>
          <w:szCs w:val="28"/>
          <w:lang w:eastAsia="zh-CN"/>
        </w:rPr>
        <w:t>十八</w:t>
      </w:r>
      <w:r>
        <w:rPr>
          <w:rFonts w:hint="eastAsia" w:ascii="仿宋_GB2312" w:hAnsi="宋体" w:eastAsia="仿宋_GB2312" w:cs="宋体"/>
          <w:b w:val="0"/>
          <w:bCs/>
          <w:kern w:val="0"/>
          <w:sz w:val="28"/>
          <w:szCs w:val="28"/>
        </w:rPr>
        <w:t>条规定，对外承包工程的单</w:t>
      </w:r>
      <w:r>
        <w:rPr>
          <w:rFonts w:hint="eastAsia" w:ascii="仿宋_GB2312" w:hAnsi="宋体" w:eastAsia="仿宋_GB2312" w:cs="宋体"/>
          <w:b w:val="0"/>
          <w:bCs/>
          <w:kern w:val="0"/>
          <w:sz w:val="28"/>
          <w:szCs w:val="28"/>
          <w:lang w:val="en-US" w:eastAsia="zh-CN"/>
        </w:rPr>
        <w:t>位应当定期向商务主管部门报告其开展对外承包工程的情况，并按照国务院商务主管部门和国务</w:t>
      </w:r>
      <w:r>
        <w:rPr>
          <w:rFonts w:hint="eastAsia" w:ascii="仿宋_GB2312" w:hAnsi="宋体" w:eastAsia="仿宋_GB2312" w:cs="宋体"/>
          <w:b w:val="0"/>
          <w:bCs/>
          <w:kern w:val="0"/>
          <w:sz w:val="28"/>
          <w:szCs w:val="28"/>
        </w:rPr>
        <w:t>院统计部门的规定，向有关部门报送业务统计资料。</w:t>
      </w:r>
    </w:p>
    <w:p>
      <w:pPr>
        <w:widowControl/>
        <w:spacing w:before="100" w:beforeAutospacing="1" w:after="100" w:afterAutospacing="1" w:line="384" w:lineRule="auto"/>
        <w:ind w:left="0" w:leftChars="0" w:firstLine="641" w:firstLineChars="228"/>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一、总说明</w:t>
      </w:r>
      <w:r>
        <w:rPr>
          <w:rFonts w:hint="eastAsia" w:ascii="宋体" w:hAnsi="宋体" w:cs="宋体"/>
          <w:kern w:val="0"/>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二、报表目录</w:t>
      </w:r>
      <w:r>
        <w:rPr>
          <w:rFonts w:hint="eastAsia" w:ascii="宋体" w:hAnsi="宋体" w:cs="宋体"/>
          <w:kern w:val="0"/>
          <w:sz w:val="21"/>
          <w:szCs w:val="21"/>
          <w:lang w:val="en-US" w:eastAsia="zh-CN"/>
        </w:rPr>
        <w:t xml:space="preserve"> </w:t>
      </w:r>
      <w:r>
        <w:rPr>
          <w:rFonts w:hint="eastAsia" w:ascii="宋体" w:hAnsi="宋体" w:cs="宋体"/>
          <w:kern w:val="0"/>
          <w:sz w:val="21"/>
          <w:szCs w:val="21"/>
        </w:rPr>
        <w:t>…</w:t>
      </w:r>
      <w:r>
        <w:rPr>
          <w:rFonts w:hint="eastAsia" w:ascii="宋体" w:hAnsi="宋体"/>
          <w:bCs/>
          <w:sz w:val="21"/>
          <w:szCs w:val="21"/>
        </w:rPr>
        <w:t>…………………………………………………………………………………………</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三、调查表式</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（一）对外承包工程业务情况（CB1表） ………………………………………………………</w:t>
      </w:r>
      <w:r>
        <w:rPr>
          <w:rFonts w:hint="eastAsia" w:ascii="宋体" w:hAnsi="宋体"/>
          <w:bCs/>
          <w:sz w:val="21"/>
          <w:szCs w:val="21"/>
          <w:lang w:val="en-US" w:eastAsia="zh-CN"/>
        </w:rPr>
        <w:t>9</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（二）对外承包工程项目明细（CB2表）  ………………………………………………………</w:t>
      </w:r>
      <w:r>
        <w:rPr>
          <w:rFonts w:hint="eastAsia" w:ascii="宋体" w:hAnsi="宋体"/>
          <w:bCs/>
          <w:sz w:val="21"/>
          <w:szCs w:val="21"/>
          <w:lang w:val="en-US" w:eastAsia="zh-CN"/>
        </w:rPr>
        <w:t>10</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（三）新签交通运输建设项目明细表（CB3表）…………………………………………………</w:t>
      </w:r>
      <w:r>
        <w:rPr>
          <w:rFonts w:hint="eastAsia" w:ascii="宋体" w:hAnsi="宋体"/>
          <w:bCs/>
          <w:sz w:val="21"/>
          <w:szCs w:val="21"/>
          <w:lang w:val="en-US" w:eastAsia="zh-CN"/>
        </w:rPr>
        <w:t>11</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（四）新签电力工程建设项目明细表（CB4表）</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2</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bCs/>
          <w:sz w:val="21"/>
          <w:szCs w:val="21"/>
        </w:rPr>
        <w:t>四、主要指标解释  ………………………………………………………………………………………1</w:t>
      </w:r>
      <w:r>
        <w:rPr>
          <w:rFonts w:hint="eastAsia" w:ascii="宋体" w:hAnsi="宋体"/>
          <w:bCs/>
          <w:sz w:val="21"/>
          <w:szCs w:val="21"/>
          <w:lang w:val="en-US" w:eastAsia="zh-CN"/>
        </w:rPr>
        <w:t>3</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五、附录</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（一）对外承包工程项目分类  ……………………………………………………………………1</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（二）关于统计上对公有和非公有控股经济的分类办法</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（三）向国家统计局提供的统计资料清单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w:t>
      </w:r>
      <w:r>
        <w:rPr>
          <w:rFonts w:hint="eastAsia" w:ascii="宋体" w:hAnsi="宋体"/>
          <w:bCs/>
          <w:sz w:val="21"/>
          <w:szCs w:val="21"/>
          <w:lang w:eastAsia="zh-CN"/>
        </w:rPr>
        <w:t>四</w:t>
      </w:r>
      <w:r>
        <w:rPr>
          <w:rFonts w:hint="eastAsia" w:ascii="宋体" w:hAnsi="宋体"/>
          <w:bCs/>
          <w:sz w:val="21"/>
          <w:szCs w:val="21"/>
        </w:rPr>
        <w:t>）向统计信息共享数据库提供的统计资料清单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jc w:val="center"/>
        <w:rPr>
          <w:rFonts w:ascii="宋体" w:hAnsi="宋体" w:cs="宋体"/>
          <w:kern w:val="0"/>
          <w:sz w:val="32"/>
          <w:szCs w:val="32"/>
        </w:rPr>
      </w:pPr>
    </w:p>
    <w:p/>
    <w:p/>
    <w:p/>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pPr>
        <w:autoSpaceDE w:val="0"/>
        <w:autoSpaceDN w:val="0"/>
        <w:adjustRightInd w:val="0"/>
        <w:snapToGrid w:val="0"/>
        <w:spacing w:line="360" w:lineRule="auto"/>
        <w:ind w:firstLine="422" w:firstLineChars="200"/>
        <w:textAlignment w:val="bottom"/>
        <w:rPr>
          <w:b/>
        </w:rPr>
      </w:pPr>
      <w:r>
        <w:rPr>
          <w:b/>
        </w:rPr>
        <w:t>（二）</w:t>
      </w:r>
      <w:r>
        <w:rPr>
          <w:rFonts w:hint="eastAsia"/>
          <w:b/>
        </w:rPr>
        <w:t>统计调查范围</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6）企业在国外及港澳台地区承担地形地貌测绘，地质资源普查与勘探，建设区域规划，工程设计、生产工艺、技术资料和工程技术咨询，工程项目的可行性考察、研究和评估，工程监理，技术指导等经济活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3、企业为承揽国（境）外承包工程项目而设立的境外企业承揽的附合上述2规定项目纳入承包工程统计。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（三）主要</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对外承包工程业务情况表（CB1）、对外承包工程项目明细表（CB2）、新签交通运输建设项目明细</w:t>
      </w:r>
      <w:r>
        <w:t>表</w:t>
      </w:r>
      <w:r>
        <w:rPr>
          <w:rFonts w:hint="eastAsia"/>
        </w:rPr>
        <w:t>（CB3）和新签电力工程建设项目明细</w:t>
      </w:r>
      <w:r>
        <w:t>表</w:t>
      </w:r>
      <w:r>
        <w:rPr>
          <w:rFonts w:hint="eastAsia"/>
        </w:rPr>
        <w:t>（CB4）</w:t>
      </w:r>
      <w:r>
        <w:t>。其中主要</w:t>
      </w:r>
      <w:r>
        <w:rPr>
          <w:rFonts w:hint="eastAsia"/>
        </w:rPr>
        <w:t>指标</w:t>
      </w:r>
      <w:r>
        <w:t>内容包括：</w:t>
      </w:r>
      <w:r>
        <w:rPr>
          <w:rFonts w:hint="eastAsia" w:ascii="宋体" w:hAnsi="宋体" w:cs="宋体"/>
          <w:bCs/>
          <w:kern w:val="0"/>
          <w:szCs w:val="21"/>
        </w:rPr>
        <w:t>新签合同额、完成营业额、带动出口额、新签铁路（公路）项目线路总里程、新签电力工程项目装机容量、外派人数、月末在外人数、雇佣项目所在国人员数量、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rPr>
      </w:pPr>
      <w:r>
        <w:rPr>
          <w:b/>
        </w:rPr>
        <w:t>（四）</w:t>
      </w:r>
      <w:r>
        <w:rPr>
          <w:rFonts w:hint="eastAsia"/>
          <w:b/>
        </w:rPr>
        <w:t>统计调查方法</w:t>
      </w:r>
    </w:p>
    <w:p>
      <w:pPr>
        <w:autoSpaceDE w:val="0"/>
        <w:autoSpaceDN w:val="0"/>
        <w:adjustRightInd w:val="0"/>
        <w:snapToGrid w:val="0"/>
        <w:spacing w:line="360" w:lineRule="auto"/>
        <w:ind w:firstLine="420" w:firstLineChars="200"/>
        <w:textAlignment w:val="bottom"/>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b/>
        </w:rPr>
        <w:t>（五）</w:t>
      </w:r>
      <w:r>
        <w:rPr>
          <w:rFonts w:hint="eastAsia"/>
          <w:b/>
        </w:rPr>
        <w:t>调查频率及调查时间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w:t>
      </w:r>
      <w:r>
        <w:rPr>
          <w:rFonts w:hint="eastAsia"/>
          <w:lang w:eastAsia="zh-CN"/>
        </w:rPr>
        <w:t>当月</w:t>
      </w:r>
      <w:r>
        <w:rPr>
          <w:rFonts w:hint="eastAsia"/>
        </w:rPr>
        <w:t>最后一日。</w:t>
      </w:r>
    </w:p>
    <w:p>
      <w:pPr>
        <w:autoSpaceDE w:val="0"/>
        <w:autoSpaceDN w:val="0"/>
        <w:adjustRightInd w:val="0"/>
        <w:snapToGrid w:val="0"/>
        <w:spacing w:line="360" w:lineRule="auto"/>
        <w:ind w:firstLine="422" w:firstLineChars="200"/>
        <w:textAlignment w:val="bottom"/>
        <w:rPr>
          <w:b/>
        </w:rPr>
      </w:pPr>
      <w:r>
        <w:rPr>
          <w:rFonts w:hint="eastAsia"/>
          <w:b/>
        </w:rPr>
        <w:t>（六）</w:t>
      </w:r>
      <w:r>
        <w:rPr>
          <w:b/>
        </w:rPr>
        <w:t>组织方式和渠道</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对外承包工程业务统计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hAnsi="宋体" w:cs="宋体"/>
          <w:b/>
          <w:bCs/>
          <w:kern w:val="0"/>
          <w:szCs w:val="21"/>
        </w:rPr>
      </w:pPr>
      <w:r>
        <w:rPr>
          <w:rFonts w:hint="eastAsia" w:ascii="宋体" w:hAnsi="宋体" w:cs="宋体"/>
          <w:b/>
          <w:bCs/>
          <w:kern w:val="0"/>
          <w:szCs w:val="21"/>
        </w:rPr>
        <w:t>（七）质量控制</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2、对外承包工程项目签约单位应协调好下属分包单位数据填报工作，确保统计数据质量。</w:t>
      </w:r>
    </w:p>
    <w:p>
      <w:pPr>
        <w:autoSpaceDE w:val="0"/>
        <w:autoSpaceDN w:val="0"/>
        <w:adjustRightInd w:val="0"/>
        <w:snapToGrid w:val="0"/>
        <w:spacing w:line="360" w:lineRule="auto"/>
        <w:ind w:firstLine="420" w:firstLineChars="200"/>
        <w:textAlignment w:val="bottom"/>
        <w:rPr>
          <w:rFonts w:ascii="宋体" w:hAnsi="宋体"/>
          <w:bCs/>
          <w:szCs w:val="21"/>
        </w:rPr>
      </w:pPr>
      <w:r>
        <w:rPr>
          <w:rFonts w:hint="eastAsia" w:ascii="宋体" w:hAnsi="宋体" w:cs="宋体"/>
          <w:bCs/>
          <w:kern w:val="0"/>
          <w:szCs w:val="21"/>
        </w:rPr>
        <w:t>3、</w:t>
      </w:r>
      <w:r>
        <w:rPr>
          <w:rFonts w:hint="eastAsia" w:ascii="宋体" w:hAnsi="宋体"/>
          <w:bCs/>
          <w:szCs w:val="21"/>
        </w:rPr>
        <w:t>企业是否按照统计制度要求报送对外承包工程统计资料，已列入商务部市场监管执法事项“双随机、一公开”抽查内容。</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4、</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4"/>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pPr>
        <w:pStyle w:val="14"/>
        <w:autoSpaceDE w:val="0"/>
        <w:autoSpaceDN w:val="0"/>
        <w:adjustRightInd w:val="0"/>
        <w:snapToGrid w:val="0"/>
        <w:spacing w:line="360" w:lineRule="auto"/>
        <w:ind w:left="120" w:leftChars="57" w:right="-191" w:rightChars="-91" w:firstLine="315" w:firstLineChars="150"/>
        <w:textAlignment w:val="bottom"/>
        <w:rPr>
          <w:bCs/>
          <w:sz w:val="21"/>
          <w:szCs w:val="21"/>
        </w:rPr>
      </w:pPr>
      <w:r>
        <w:rPr>
          <w:rFonts w:hint="eastAsia"/>
          <w:sz w:val="21"/>
          <w:szCs w:val="21"/>
        </w:rPr>
        <w:t>1、月后10日内，由调查范围内企业通过登录商务部业务系统统一平台（</w:t>
      </w:r>
      <w:r>
        <w:rPr>
          <w:rFonts w:hint="eastAsia" w:ascii="宋体" w:hAnsi="宋体" w:eastAsia="宋体" w:cs="宋体"/>
          <w:bCs/>
          <w:kern w:val="0"/>
          <w:sz w:val="21"/>
          <w:szCs w:val="21"/>
          <w:lang w:val="en-US" w:eastAsia="zh-CN" w:bidi="ar-SA"/>
        </w:rPr>
        <w:t>http://ecomp.mofcom.gov.cn</w:t>
      </w:r>
      <w:r>
        <w:rPr>
          <w:rFonts w:hint="eastAsia"/>
          <w:b w:val="0"/>
          <w:bCs w:val="0"/>
          <w:sz w:val="21"/>
          <w:szCs w:val="21"/>
        </w:rPr>
        <w:t>）</w:t>
      </w:r>
      <w:r>
        <w:rPr>
          <w:rFonts w:hint="eastAsia"/>
          <w:sz w:val="21"/>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2、本制度使用的国别（地区）统计代码，按国家统计局制定的《国别（地区）统计代码》执行。</w:t>
      </w:r>
    </w:p>
    <w:p>
      <w:pPr>
        <w:autoSpaceDE w:val="0"/>
        <w:autoSpaceDN w:val="0"/>
        <w:adjustRightInd w:val="0"/>
        <w:snapToGrid w:val="0"/>
        <w:spacing w:line="360" w:lineRule="auto"/>
        <w:ind w:firstLine="422" w:firstLineChars="200"/>
        <w:textAlignment w:val="bottom"/>
        <w:rPr>
          <w:b/>
        </w:rPr>
      </w:pPr>
      <w:r>
        <w:rPr>
          <w:b/>
        </w:rPr>
        <w:t>（</w:t>
      </w:r>
      <w:r>
        <w:rPr>
          <w:rFonts w:hint="eastAsia"/>
          <w:b/>
        </w:rPr>
        <w:t>九</w:t>
      </w:r>
      <w:r>
        <w:rPr>
          <w:b/>
        </w:rPr>
        <w:t>）</w:t>
      </w:r>
      <w:r>
        <w:rPr>
          <w:rFonts w:hint="eastAsia"/>
          <w:b/>
        </w:rPr>
        <w:t>统计资料公布方式</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w:t>
      </w:r>
      <w:r>
        <w:rPr>
          <w:rFonts w:hint="eastAsia" w:ascii="宋体" w:hAnsi="宋体" w:cs="宋体"/>
          <w:bCs/>
          <w:kern w:val="0"/>
          <w:szCs w:val="21"/>
          <w:lang w:val="en-US" w:eastAsia="zh-CN"/>
        </w:rPr>
        <w:t>30日</w:t>
      </w:r>
      <w:r>
        <w:rPr>
          <w:rFonts w:hint="eastAsia" w:ascii="宋体" w:hAnsi="宋体" w:cs="宋体"/>
          <w:bCs/>
          <w:kern w:val="0"/>
          <w:szCs w:val="21"/>
        </w:rPr>
        <w:t>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13"/>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Borders>
              <w:left w:val="nil"/>
            </w:tcBorders>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CB1</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vAlign w:val="center"/>
          </w:tcPr>
          <w:p>
            <w:pPr>
              <w:ind w:right="-82" w:rightChars="-39"/>
              <w:jc w:val="center"/>
              <w:rPr>
                <w:rFonts w:hint="eastAsia" w:ascii="宋体" w:hAnsi="宋体" w:eastAsia="宋体"/>
                <w:bCs/>
                <w:sz w:val="18"/>
                <w:szCs w:val="18"/>
                <w:lang w:eastAsia="zh-CN"/>
              </w:rPr>
            </w:pPr>
            <w:r>
              <w:rPr>
                <w:rFonts w:hint="eastAsia" w:ascii="宋体" w:hAnsi="宋体"/>
                <w:bCs/>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CB2</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CB3</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CB4</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2</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r>
        <w:br w:type="page"/>
      </w:r>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13"/>
        <w:tblW w:w="8787" w:type="dxa"/>
        <w:jc w:val="center"/>
        <w:tblInd w:w="93" w:type="dxa"/>
        <w:tblLayout w:type="fixed"/>
        <w:tblCellMar>
          <w:top w:w="0" w:type="dxa"/>
          <w:left w:w="108" w:type="dxa"/>
          <w:bottom w:w="0" w:type="dxa"/>
          <w:right w:w="108" w:type="dxa"/>
        </w:tblCellMar>
      </w:tblPr>
      <w:tblGrid>
        <w:gridCol w:w="5660"/>
        <w:gridCol w:w="3127"/>
      </w:tblGrid>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号：CB1</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13"/>
        <w:tblW w:w="9087"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8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875" w:type="dxa"/>
            <w:vMerge w:val="restart"/>
            <w:tcBorders>
              <w:left w:val="nil"/>
              <w:tl2br w:val="single" w:color="auto" w:sz="4"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vMerge w:val="restart"/>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tcPr>
          <w:p>
            <w:pPr>
              <w:jc w:val="center"/>
              <w:rPr>
                <w:rFonts w:ascii="宋体" w:hAnsi="宋体"/>
                <w:bCs/>
                <w:sz w:val="18"/>
                <w:szCs w:val="18"/>
              </w:rPr>
            </w:pPr>
            <w:r>
              <w:rPr>
                <w:rFonts w:hint="eastAsia" w:ascii="宋体" w:hAnsi="宋体"/>
                <w:bCs/>
                <w:sz w:val="18"/>
                <w:szCs w:val="18"/>
              </w:rPr>
              <w:t>新签合同额</w:t>
            </w:r>
          </w:p>
        </w:tc>
        <w:tc>
          <w:tcPr>
            <w:tcW w:w="1422" w:type="dxa"/>
            <w:gridSpan w:val="2"/>
          </w:tcPr>
          <w:p>
            <w:pPr>
              <w:jc w:val="center"/>
              <w:rPr>
                <w:rFonts w:ascii="宋体" w:hAnsi="宋体"/>
                <w:bCs/>
                <w:sz w:val="18"/>
                <w:szCs w:val="18"/>
              </w:rPr>
            </w:pPr>
            <w:r>
              <w:rPr>
                <w:rFonts w:hint="eastAsia" w:ascii="宋体" w:hAnsi="宋体"/>
                <w:bCs/>
                <w:sz w:val="18"/>
                <w:szCs w:val="18"/>
              </w:rPr>
              <w:t>完成营业额</w:t>
            </w:r>
          </w:p>
        </w:tc>
        <w:tc>
          <w:tcPr>
            <w:tcW w:w="947" w:type="dxa"/>
            <w:vMerge w:val="restart"/>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84" w:type="dxa"/>
            <w:vMerge w:val="restart"/>
            <w:tcBorders>
              <w:right w:val="single" w:color="auto" w:sz="4"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425" w:type="dxa"/>
            <w:vMerge w:val="restart"/>
            <w:tcBorders>
              <w:left w:val="single" w:color="auto" w:sz="4" w:space="0"/>
              <w:right w:val="nil"/>
            </w:tcBorders>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875" w:type="dxa"/>
            <w:vMerge w:val="continue"/>
            <w:tcBorders>
              <w:left w:val="nil"/>
              <w:tl2br w:val="single" w:color="auto" w:sz="4" w:space="0"/>
            </w:tcBorders>
          </w:tcPr>
          <w:p>
            <w:pPr>
              <w:rPr>
                <w:rFonts w:ascii="宋体" w:hAnsi="宋体"/>
                <w:bCs/>
                <w:sz w:val="18"/>
                <w:szCs w:val="18"/>
              </w:rPr>
            </w:pPr>
          </w:p>
        </w:tc>
        <w:tc>
          <w:tcPr>
            <w:tcW w:w="984" w:type="dxa"/>
            <w:vMerge w:val="continue"/>
          </w:tcPr>
          <w:p>
            <w:pPr>
              <w:jc w:val="center"/>
              <w:rPr>
                <w:rFonts w:ascii="宋体" w:hAnsi="宋体"/>
                <w:bCs/>
                <w:sz w:val="18"/>
                <w:szCs w:val="18"/>
              </w:rPr>
            </w:pPr>
          </w:p>
        </w:tc>
        <w:tc>
          <w:tcPr>
            <w:tcW w:w="583" w:type="dxa"/>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655" w:type="dxa"/>
          </w:tcPr>
          <w:p>
            <w:pPr>
              <w:rPr>
                <w:rFonts w:ascii="宋体" w:hAnsi="宋体"/>
                <w:bCs/>
                <w:sz w:val="18"/>
                <w:szCs w:val="18"/>
              </w:rPr>
            </w:pPr>
          </w:p>
          <w:p>
            <w:pP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947" w:type="dxa"/>
            <w:vMerge w:val="continue"/>
          </w:tcPr>
          <w:p>
            <w:pPr>
              <w:jc w:val="center"/>
              <w:rPr>
                <w:rFonts w:ascii="宋体" w:hAnsi="宋体"/>
                <w:bCs/>
                <w:sz w:val="18"/>
                <w:szCs w:val="18"/>
              </w:rPr>
            </w:pPr>
          </w:p>
        </w:tc>
        <w:tc>
          <w:tcPr>
            <w:tcW w:w="1084" w:type="dxa"/>
            <w:vMerge w:val="continue"/>
            <w:tcBorders>
              <w:right w:val="single" w:color="auto" w:sz="4" w:space="0"/>
            </w:tcBorders>
          </w:tcPr>
          <w:p>
            <w:pPr>
              <w:jc w:val="center"/>
              <w:rPr>
                <w:rFonts w:ascii="宋体" w:hAnsi="宋体"/>
                <w:bCs/>
                <w:sz w:val="18"/>
                <w:szCs w:val="18"/>
              </w:rPr>
            </w:pPr>
          </w:p>
        </w:tc>
        <w:tc>
          <w:tcPr>
            <w:tcW w:w="1425" w:type="dxa"/>
            <w:vMerge w:val="continue"/>
            <w:tcBorders>
              <w:left w:val="single" w:color="auto" w:sz="4" w:space="0"/>
              <w:right w:val="nil"/>
            </w:tcBorders>
          </w:tcPr>
          <w:p>
            <w:pPr>
              <w:widowControl/>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tcBorders>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58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655"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947" w:type="dxa"/>
            <w:tcBorders>
              <w:bottom w:val="single" w:color="auto" w:sz="4" w:space="0"/>
            </w:tcBorders>
          </w:tcPr>
          <w:p>
            <w:pPr>
              <w:jc w:val="center"/>
              <w:rPr>
                <w:rFonts w:ascii="宋体" w:hAnsi="宋体"/>
                <w:bCs/>
                <w:sz w:val="18"/>
                <w:szCs w:val="18"/>
              </w:rPr>
            </w:pPr>
            <w:r>
              <w:rPr>
                <w:rFonts w:hint="eastAsia" w:ascii="宋体" w:hAnsi="宋体"/>
                <w:bCs/>
                <w:sz w:val="18"/>
                <w:szCs w:val="18"/>
              </w:rPr>
              <w:t>6</w:t>
            </w:r>
          </w:p>
        </w:tc>
        <w:tc>
          <w:tcPr>
            <w:tcW w:w="1084" w:type="dxa"/>
            <w:tcBorders>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425" w:type="dxa"/>
            <w:tcBorders>
              <w:left w:val="single" w:color="auto" w:sz="4" w:space="0"/>
              <w:bottom w:val="single" w:color="auto" w:sz="4" w:space="0"/>
              <w:right w:val="nil"/>
            </w:tcBorders>
          </w:tcPr>
          <w:p>
            <w:pPr>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bottom w:val="nil"/>
            </w:tcBorders>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tcPr>
          <w:p>
            <w:pPr>
              <w:rPr>
                <w:rFonts w:ascii="宋体" w:hAnsi="宋体"/>
                <w:bCs/>
                <w:sz w:val="18"/>
                <w:szCs w:val="18"/>
              </w:rPr>
            </w:pPr>
          </w:p>
        </w:tc>
        <w:tc>
          <w:tcPr>
            <w:tcW w:w="583"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655"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947" w:type="dxa"/>
            <w:tcBorders>
              <w:left w:val="nil"/>
              <w:bottom w:val="nil"/>
              <w:right w:val="nil"/>
            </w:tcBorders>
          </w:tcPr>
          <w:p>
            <w:pPr>
              <w:rPr>
                <w:rFonts w:ascii="宋体" w:hAnsi="宋体"/>
                <w:bCs/>
                <w:sz w:val="18"/>
                <w:szCs w:val="18"/>
              </w:rPr>
            </w:pPr>
          </w:p>
        </w:tc>
        <w:tc>
          <w:tcPr>
            <w:tcW w:w="1084" w:type="dxa"/>
            <w:tcBorders>
              <w:left w:val="nil"/>
              <w:bottom w:val="nil"/>
              <w:right w:val="nil"/>
            </w:tcBorders>
          </w:tcPr>
          <w:p>
            <w:pPr>
              <w:rPr>
                <w:rFonts w:ascii="宋体" w:hAnsi="宋体"/>
                <w:bCs/>
                <w:sz w:val="18"/>
                <w:szCs w:val="18"/>
              </w:rPr>
            </w:pPr>
          </w:p>
        </w:tc>
        <w:tc>
          <w:tcPr>
            <w:tcW w:w="1425"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tcPr>
          <w:p>
            <w:pPr>
              <w:rPr>
                <w:rFonts w:ascii="宋体" w:hAnsi="宋体"/>
                <w:bCs/>
                <w:sz w:val="18"/>
                <w:szCs w:val="18"/>
              </w:rPr>
            </w:pPr>
          </w:p>
        </w:tc>
        <w:tc>
          <w:tcPr>
            <w:tcW w:w="583"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655"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947" w:type="dxa"/>
            <w:tcBorders>
              <w:top w:val="nil"/>
              <w:left w:val="nil"/>
              <w:right w:val="nil"/>
            </w:tcBorders>
          </w:tcPr>
          <w:p>
            <w:pPr>
              <w:rPr>
                <w:rFonts w:ascii="宋体" w:hAnsi="宋体"/>
                <w:bCs/>
                <w:sz w:val="18"/>
                <w:szCs w:val="18"/>
              </w:rPr>
            </w:pPr>
          </w:p>
        </w:tc>
        <w:tc>
          <w:tcPr>
            <w:tcW w:w="1084" w:type="dxa"/>
            <w:tcBorders>
              <w:top w:val="nil"/>
              <w:left w:val="nil"/>
              <w:right w:val="nil"/>
            </w:tcBorders>
          </w:tcPr>
          <w:p>
            <w:pPr>
              <w:rPr>
                <w:rFonts w:ascii="宋体" w:hAnsi="宋体"/>
                <w:bCs/>
                <w:sz w:val="18"/>
                <w:szCs w:val="18"/>
              </w:rPr>
            </w:pPr>
          </w:p>
        </w:tc>
        <w:tc>
          <w:tcPr>
            <w:tcW w:w="1425" w:type="dxa"/>
            <w:tcBorders>
              <w:top w:val="nil"/>
              <w:left w:val="nil"/>
              <w:right w:val="nil"/>
            </w:tcBorders>
          </w:tcPr>
          <w:p>
            <w:pPr>
              <w:rPr>
                <w:rFonts w:ascii="宋体" w:hAnsi="宋体"/>
                <w:bCs/>
                <w:sz w:val="18"/>
                <w:szCs w:val="18"/>
              </w:rPr>
            </w:pPr>
          </w:p>
        </w:tc>
      </w:tr>
    </w:tbl>
    <w:p>
      <w:pPr>
        <w:ind w:left="218" w:leftChars="104" w:firstLine="0" w:firstLineChars="0"/>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firstLine="0" w:firstLineChars="0"/>
        <w:rPr>
          <w:rFonts w:ascii="宋体" w:hAnsi="宋体"/>
          <w:bCs/>
          <w:sz w:val="18"/>
          <w:szCs w:val="18"/>
        </w:rPr>
      </w:pPr>
    </w:p>
    <w:p>
      <w:pPr>
        <w:ind w:left="218" w:leftChars="104" w:firstLine="0" w:firstLineChars="0"/>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3、公有控股经济和非公有控股经济划分标准见附录（二）。</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13"/>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2</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1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720" w:type="dxa"/>
            <w:vAlign w:val="center"/>
          </w:tcPr>
          <w:p>
            <w:pPr>
              <w:jc w:val="center"/>
              <w:rPr>
                <w:rFonts w:ascii="宋体" w:hAnsi="宋体"/>
                <w:bCs/>
                <w:sz w:val="18"/>
                <w:szCs w:val="18"/>
              </w:rPr>
            </w:pPr>
            <w:r>
              <w:rPr>
                <w:rFonts w:hint="eastAsia" w:ascii="宋体" w:hAnsi="宋体"/>
                <w:bCs/>
                <w:sz w:val="18"/>
                <w:szCs w:val="18"/>
              </w:rPr>
              <w:t>大类</w:t>
            </w:r>
          </w:p>
        </w:tc>
        <w:tc>
          <w:tcPr>
            <w:tcW w:w="720" w:type="dxa"/>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tcPr>
          <w:p>
            <w:pPr>
              <w:jc w:val="center"/>
              <w:rPr>
                <w:rFonts w:ascii="宋体" w:hAnsi="宋体"/>
                <w:bCs/>
                <w:sz w:val="18"/>
                <w:szCs w:val="18"/>
              </w:rPr>
            </w:pPr>
            <w:r>
              <w:rPr>
                <w:color w:val="333333"/>
              </w:rPr>
              <w:t>癸</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13"/>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vAlign w:val="center"/>
          </w:tcPr>
          <w:p>
            <w:pPr>
              <w:jc w:val="center"/>
              <w:rPr>
                <w:rFonts w:ascii="宋体" w:hAnsi="宋体"/>
                <w:bCs/>
                <w:sz w:val="18"/>
                <w:szCs w:val="18"/>
              </w:rPr>
            </w:pPr>
            <w:r>
              <w:rPr>
                <w:rFonts w:hint="eastAsia" w:ascii="宋体" w:hAnsi="宋体"/>
                <w:bCs/>
                <w:sz w:val="18"/>
                <w:szCs w:val="18"/>
              </w:rPr>
              <w:t>带动出口额</w:t>
            </w:r>
          </w:p>
        </w:tc>
        <w:tc>
          <w:tcPr>
            <w:tcW w:w="992" w:type="dxa"/>
            <w:vAlign w:val="center"/>
          </w:tcPr>
          <w:p>
            <w:pPr>
              <w:jc w:val="center"/>
              <w:rPr>
                <w:rFonts w:ascii="宋体" w:hAnsi="宋体"/>
                <w:bCs/>
                <w:sz w:val="18"/>
                <w:szCs w:val="18"/>
              </w:rPr>
            </w:pPr>
            <w:r>
              <w:rPr>
                <w:rFonts w:hint="eastAsia" w:ascii="宋体" w:hAnsi="宋体"/>
                <w:bCs/>
                <w:sz w:val="18"/>
                <w:szCs w:val="18"/>
              </w:rPr>
              <w:t>外派人数</w:t>
            </w:r>
          </w:p>
        </w:tc>
        <w:tc>
          <w:tcPr>
            <w:tcW w:w="1418" w:type="dxa"/>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1276"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418" w:type="dxa"/>
            <w:tcBorders>
              <w:left w:val="nil"/>
              <w:bottom w:val="nil"/>
              <w:right w:val="nil"/>
            </w:tcBorders>
          </w:tcPr>
          <w:p>
            <w:pPr>
              <w:rPr>
                <w:rFonts w:ascii="宋体" w:hAnsi="宋体"/>
                <w:bCs/>
                <w:sz w:val="18"/>
                <w:szCs w:val="18"/>
              </w:rPr>
            </w:pPr>
          </w:p>
        </w:tc>
        <w:tc>
          <w:tcPr>
            <w:tcW w:w="1559" w:type="dxa"/>
            <w:tcBorders>
              <w:left w:val="nil"/>
              <w:bottom w:val="nil"/>
              <w:right w:val="nil"/>
            </w:tcBorders>
          </w:tcPr>
          <w:p>
            <w:pPr>
              <w:rPr>
                <w:rFonts w:ascii="宋体" w:hAnsi="宋体"/>
                <w:bCs/>
                <w:sz w:val="18"/>
                <w:szCs w:val="18"/>
              </w:rPr>
            </w:pPr>
          </w:p>
        </w:tc>
        <w:tc>
          <w:tcPr>
            <w:tcW w:w="2063"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276"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559" w:type="dxa"/>
            <w:tcBorders>
              <w:top w:val="nil"/>
              <w:left w:val="nil"/>
              <w:bottom w:val="nil"/>
              <w:right w:val="nil"/>
            </w:tcBorders>
          </w:tcPr>
          <w:p>
            <w:pPr>
              <w:rPr>
                <w:rFonts w:ascii="宋体" w:hAnsi="宋体"/>
                <w:bCs/>
                <w:sz w:val="18"/>
                <w:szCs w:val="18"/>
              </w:rPr>
            </w:pPr>
          </w:p>
        </w:tc>
        <w:tc>
          <w:tcPr>
            <w:tcW w:w="2063"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1276"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418" w:type="dxa"/>
            <w:tcBorders>
              <w:top w:val="nil"/>
              <w:left w:val="nil"/>
              <w:right w:val="nil"/>
            </w:tcBorders>
          </w:tcPr>
          <w:p>
            <w:pPr>
              <w:rPr>
                <w:rFonts w:ascii="宋体" w:hAnsi="宋体"/>
                <w:bCs/>
                <w:sz w:val="18"/>
                <w:szCs w:val="18"/>
              </w:rPr>
            </w:pPr>
          </w:p>
        </w:tc>
        <w:tc>
          <w:tcPr>
            <w:tcW w:w="1559" w:type="dxa"/>
            <w:tcBorders>
              <w:top w:val="nil"/>
              <w:left w:val="nil"/>
              <w:right w:val="nil"/>
            </w:tcBorders>
          </w:tcPr>
          <w:p>
            <w:pPr>
              <w:rPr>
                <w:rFonts w:ascii="宋体" w:hAnsi="宋体"/>
                <w:bCs/>
                <w:sz w:val="18"/>
                <w:szCs w:val="18"/>
              </w:rPr>
            </w:pPr>
          </w:p>
        </w:tc>
        <w:tc>
          <w:tcPr>
            <w:tcW w:w="2063"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4、项目的资金来源：指企业承揽工程项目工程款的来源方，包括项目所在国政府、世界银行、其他区域性金融机构、中国政府援外项目款项、中国政府优惠出口买方信贷、业主自筹等。</w:t>
      </w:r>
    </w:p>
    <w:p>
      <w:pPr>
        <w:ind w:firstLine="540" w:firstLineChars="300"/>
        <w:rPr>
          <w:rFonts w:ascii="宋体" w:hAnsi="宋体"/>
          <w:bCs/>
          <w:sz w:val="18"/>
          <w:szCs w:val="18"/>
        </w:rPr>
      </w:pPr>
      <w:r>
        <w:rPr>
          <w:rFonts w:hint="eastAsia" w:ascii="宋体" w:hAnsi="宋体"/>
          <w:bCs/>
          <w:sz w:val="18"/>
          <w:szCs w:val="18"/>
        </w:rPr>
        <w:t>5、项目承包方式</w:t>
      </w:r>
      <w:r>
        <w:rPr>
          <w:rFonts w:hint="eastAsia" w:ascii="宋体" w:hAnsi="宋体"/>
          <w:b/>
          <w:bCs/>
          <w:sz w:val="18"/>
          <w:szCs w:val="18"/>
        </w:rPr>
        <w:t>：</w:t>
      </w:r>
      <w:r>
        <w:rPr>
          <w:rFonts w:hint="eastAsia" w:ascii="宋体" w:hAnsi="宋体"/>
          <w:bCs/>
          <w:sz w:val="18"/>
          <w:szCs w:val="18"/>
        </w:rPr>
        <w:t>包括（1）传统承包方式，指企业与业主签订的仅是施工合同；（2）总承包方式，指企业与业主签订的是设计-建造（D&amp;B</w:t>
      </w:r>
      <w:r>
        <w:rPr>
          <w:rFonts w:ascii="宋体" w:hAnsi="宋体"/>
          <w:bCs/>
          <w:sz w:val="18"/>
          <w:szCs w:val="18"/>
        </w:rPr>
        <w:t>）</w:t>
      </w:r>
      <w:r>
        <w:rPr>
          <w:rFonts w:hint="eastAsia" w:ascii="宋体" w:hAnsi="宋体"/>
          <w:bCs/>
          <w:sz w:val="18"/>
          <w:szCs w:val="18"/>
        </w:rPr>
        <w:t>或设计-采购-施工(EPC)合同；（3）项目融资方式，包括特许经营（BOT及其衍生方式）类项目，公私合营（PPP）类项目等；（4）其他，除以上范围以外的承包方式，如设计咨询。</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新签交通运输建设项目明细</w:t>
      </w:r>
    </w:p>
    <w:p>
      <w:pPr>
        <w:jc w:val="center"/>
        <w:rPr>
          <w:rFonts w:ascii="宋体" w:hAnsi="宋体"/>
          <w:b/>
          <w:szCs w:val="21"/>
        </w:rPr>
      </w:pPr>
    </w:p>
    <w:tbl>
      <w:tblPr>
        <w:tblStyle w:val="13"/>
        <w:tblW w:w="9177" w:type="dxa"/>
        <w:tblInd w:w="93" w:type="dxa"/>
        <w:tblLayout w:type="fixed"/>
        <w:tblCellMar>
          <w:top w:w="0" w:type="dxa"/>
          <w:left w:w="108" w:type="dxa"/>
          <w:bottom w:w="0" w:type="dxa"/>
          <w:right w:w="108" w:type="dxa"/>
        </w:tblCellMar>
      </w:tblPr>
      <w:tblGrid>
        <w:gridCol w:w="5620"/>
        <w:gridCol w:w="3557"/>
      </w:tblGrid>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3</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13"/>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tcPr>
          <w:p>
            <w:pPr>
              <w:rPr>
                <w:rFonts w:ascii="宋体" w:hAnsi="宋体"/>
                <w:bCs/>
                <w:sz w:val="18"/>
                <w:szCs w:val="18"/>
              </w:rPr>
            </w:pPr>
          </w:p>
        </w:tc>
        <w:tc>
          <w:tcPr>
            <w:tcW w:w="1340" w:type="dxa"/>
            <w:tcBorders>
              <w:left w:val="nil"/>
              <w:bottom w:val="nil"/>
              <w:right w:val="nil"/>
            </w:tcBorders>
          </w:tcPr>
          <w:p>
            <w:pPr>
              <w:rPr>
                <w:rFonts w:ascii="宋体" w:hAnsi="宋体"/>
                <w:bCs/>
                <w:sz w:val="18"/>
                <w:szCs w:val="18"/>
              </w:rPr>
            </w:pPr>
          </w:p>
        </w:tc>
        <w:tc>
          <w:tcPr>
            <w:tcW w:w="1095"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3" w:type="dxa"/>
            <w:tcBorders>
              <w:left w:val="nil"/>
              <w:bottom w:val="nil"/>
              <w:right w:val="nil"/>
            </w:tcBorders>
          </w:tcPr>
          <w:p>
            <w:pPr>
              <w:rPr>
                <w:rFonts w:ascii="宋体" w:hAnsi="宋体"/>
                <w:bCs/>
                <w:sz w:val="18"/>
                <w:szCs w:val="18"/>
              </w:rPr>
            </w:pPr>
          </w:p>
        </w:tc>
        <w:tc>
          <w:tcPr>
            <w:tcW w:w="1257" w:type="dxa"/>
            <w:tcBorders>
              <w:left w:val="nil"/>
              <w:bottom w:val="nil"/>
              <w:right w:val="nil"/>
            </w:tcBorders>
          </w:tcPr>
          <w:p>
            <w:pPr>
              <w:rPr>
                <w:rFonts w:ascii="宋体" w:hAnsi="宋体"/>
                <w:bCs/>
                <w:sz w:val="18"/>
                <w:szCs w:val="18"/>
              </w:rPr>
            </w:pPr>
          </w:p>
        </w:tc>
        <w:tc>
          <w:tcPr>
            <w:tcW w:w="792"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tcPr>
          <w:p>
            <w:pPr>
              <w:rPr>
                <w:rFonts w:ascii="宋体" w:hAnsi="宋体"/>
                <w:bCs/>
                <w:sz w:val="18"/>
                <w:szCs w:val="18"/>
              </w:rPr>
            </w:pPr>
          </w:p>
        </w:tc>
        <w:tc>
          <w:tcPr>
            <w:tcW w:w="1340" w:type="dxa"/>
            <w:tcBorders>
              <w:top w:val="nil"/>
              <w:left w:val="nil"/>
              <w:right w:val="nil"/>
            </w:tcBorders>
          </w:tcPr>
          <w:p>
            <w:pPr>
              <w:rPr>
                <w:rFonts w:ascii="宋体" w:hAnsi="宋体"/>
                <w:bCs/>
                <w:sz w:val="18"/>
                <w:szCs w:val="18"/>
              </w:rPr>
            </w:pPr>
          </w:p>
        </w:tc>
        <w:tc>
          <w:tcPr>
            <w:tcW w:w="1095"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3" w:type="dxa"/>
            <w:tcBorders>
              <w:top w:val="nil"/>
              <w:left w:val="nil"/>
              <w:right w:val="nil"/>
            </w:tcBorders>
          </w:tcPr>
          <w:p>
            <w:pPr>
              <w:rPr>
                <w:rFonts w:ascii="宋体" w:hAnsi="宋体"/>
                <w:bCs/>
                <w:sz w:val="18"/>
                <w:szCs w:val="18"/>
              </w:rPr>
            </w:pPr>
          </w:p>
        </w:tc>
        <w:tc>
          <w:tcPr>
            <w:tcW w:w="1257" w:type="dxa"/>
            <w:tcBorders>
              <w:top w:val="nil"/>
              <w:left w:val="nil"/>
              <w:right w:val="nil"/>
            </w:tcBorders>
          </w:tcPr>
          <w:p>
            <w:pPr>
              <w:rPr>
                <w:rFonts w:ascii="宋体" w:hAnsi="宋体"/>
                <w:bCs/>
                <w:sz w:val="18"/>
                <w:szCs w:val="18"/>
              </w:rPr>
            </w:pPr>
          </w:p>
        </w:tc>
        <w:tc>
          <w:tcPr>
            <w:tcW w:w="792"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13"/>
        <w:tblW w:w="9522" w:type="dxa"/>
        <w:tblInd w:w="93" w:type="dxa"/>
        <w:tblLayout w:type="fixed"/>
        <w:tblCellMar>
          <w:top w:w="0" w:type="dxa"/>
          <w:left w:w="108" w:type="dxa"/>
          <w:bottom w:w="0" w:type="dxa"/>
          <w:right w:w="108" w:type="dxa"/>
        </w:tblCellMar>
      </w:tblPr>
      <w:tblGrid>
        <w:gridCol w:w="5500"/>
        <w:gridCol w:w="402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4</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tcPr>
          <w:p>
            <w:pPr>
              <w:rPr>
                <w:rFonts w:ascii="宋体" w:hAnsi="宋体"/>
                <w:bCs/>
                <w:sz w:val="18"/>
                <w:szCs w:val="18"/>
              </w:rPr>
            </w:pPr>
          </w:p>
        </w:tc>
        <w:tc>
          <w:tcPr>
            <w:tcW w:w="1077" w:type="dxa"/>
            <w:tcBorders>
              <w:left w:val="nil"/>
              <w:bottom w:val="nil"/>
              <w:right w:val="nil"/>
            </w:tcBorders>
          </w:tcPr>
          <w:p>
            <w:pPr>
              <w:rPr>
                <w:rFonts w:ascii="宋体" w:hAnsi="宋体"/>
                <w:bCs/>
                <w:sz w:val="18"/>
                <w:szCs w:val="18"/>
              </w:rPr>
            </w:pPr>
          </w:p>
        </w:tc>
        <w:tc>
          <w:tcPr>
            <w:tcW w:w="1070"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046"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tcPr>
          <w:p>
            <w:pPr>
              <w:rPr>
                <w:rFonts w:ascii="宋体" w:hAnsi="宋体"/>
                <w:bCs/>
                <w:sz w:val="18"/>
                <w:szCs w:val="18"/>
              </w:rPr>
            </w:pPr>
          </w:p>
        </w:tc>
        <w:tc>
          <w:tcPr>
            <w:tcW w:w="1077" w:type="dxa"/>
            <w:tcBorders>
              <w:top w:val="nil"/>
              <w:left w:val="nil"/>
              <w:right w:val="nil"/>
            </w:tcBorders>
          </w:tcPr>
          <w:p>
            <w:pPr>
              <w:rPr>
                <w:rFonts w:ascii="宋体" w:hAnsi="宋体"/>
                <w:bCs/>
                <w:sz w:val="18"/>
                <w:szCs w:val="18"/>
              </w:rPr>
            </w:pPr>
          </w:p>
        </w:tc>
        <w:tc>
          <w:tcPr>
            <w:tcW w:w="1070"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046"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3、电力工程建设项目分类：包括化石燃料电厂、水电站、核电站、热电联电站、风力发电站、太阳能电站建设的项目。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jc w:val="center"/>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widowControl/>
        <w:spacing w:before="100" w:beforeAutospacing="1" w:after="100" w:afterAutospacing="1"/>
        <w:ind w:firstLine="360"/>
        <w:jc w:val="left"/>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4"/>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 xml:space="preserve">新签合同额以美元作为计算单位。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 xml:space="preserve">企业之间以总包、分包方式实施的对外承包工程项目，其完成营业额由项目实施企业统计。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6、设计咨询：</w:t>
      </w:r>
      <w:r>
        <w:rPr>
          <w:rFonts w:hint="eastAsia" w:ascii="宋体" w:hAnsi="宋体" w:cs="宋体"/>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16、派出人数、月末在外人数的统计界定原则：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（1）派往本企业签约承揽的境外承包工程项目人员纳入外派人员、月末在外人数统计。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cs="宋体"/>
          <w:bCs/>
          <w:kern w:val="0"/>
          <w:szCs w:val="21"/>
        </w:rPr>
        <w:t>（2）向本企业境外企业签约承揽的境外工程项目派出本企业自有人员</w:t>
      </w:r>
      <w:r>
        <w:rPr>
          <w:rFonts w:hint="eastAsia" w:ascii="宋体" w:hAnsi="宋体"/>
          <w:bCs/>
          <w:szCs w:val="21"/>
        </w:rPr>
        <w:t>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（3）派往本企业分包的境外工程项目人员纳入外派人员、月末在外人数统计。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（4）本企业的境外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（5）派往境外注册的承包工程项目公司、办事处、代表处的常驻人员不纳入承包工程外派人员、月末在外人数统计。</w:t>
      </w:r>
    </w:p>
    <w:p>
      <w:pPr>
        <w:widowControl/>
        <w:adjustRightInd w:val="0"/>
        <w:snapToGrid w:val="0"/>
        <w:spacing w:before="100" w:beforeAutospacing="1" w:after="100" w:afterAutospacing="1" w:line="384" w:lineRule="auto"/>
        <w:ind w:firstLine="538" w:firstLineChars="255"/>
        <w:jc w:val="left"/>
        <w:rPr>
          <w:rFonts w:ascii="宋体" w:hAnsi="宋体" w:cs="宋体"/>
          <w:b/>
          <w:bCs/>
          <w:kern w:val="0"/>
          <w:szCs w:val="21"/>
        </w:rPr>
      </w:pPr>
      <w:r>
        <w:rPr>
          <w:rFonts w:hint="eastAsia" w:ascii="宋体" w:hAnsi="宋体" w:cs="宋体"/>
          <w:b/>
          <w:bCs/>
          <w:kern w:val="0"/>
          <w:szCs w:val="21"/>
        </w:rPr>
        <w:t xml:space="preserve">17、外派人数、月末在外人数的计算原则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（1）外</w:t>
      </w:r>
      <w:r>
        <w:rPr>
          <w:rFonts w:hint="eastAsia" w:ascii="宋体" w:hAnsi="宋体" w:cs="宋体"/>
          <w:bCs/>
          <w:kern w:val="0"/>
          <w:szCs w:val="21"/>
        </w:rPr>
        <w:t xml:space="preserve">派人数、月末在外人数以人作为计算单位。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（2）外</w:t>
      </w:r>
      <w:r>
        <w:rPr>
          <w:rFonts w:hint="eastAsia" w:ascii="宋体" w:hAnsi="宋体" w:cs="宋体"/>
          <w:bCs/>
          <w:kern w:val="0"/>
          <w:szCs w:val="21"/>
        </w:rPr>
        <w:t xml:space="preserve">派人数、月末在外人数由统计该项目完成营业额的企业统计。 </w:t>
      </w:r>
    </w:p>
    <w:p>
      <w:pPr>
        <w:widowControl/>
        <w:adjustRightInd w:val="0"/>
        <w:snapToGrid w:val="0"/>
        <w:spacing w:before="100" w:beforeAutospacing="1" w:after="100" w:afterAutospacing="1" w:line="240" w:lineRule="exact"/>
        <w:ind w:firstLine="464" w:firstLineChars="221"/>
        <w:jc w:val="left"/>
        <w:rPr>
          <w:rFonts w:ascii="宋体" w:hAnsi="宋体"/>
          <w:bCs/>
          <w:szCs w:val="21"/>
        </w:rPr>
      </w:pPr>
      <w:r>
        <w:rPr>
          <w:rFonts w:hint="eastAsia" w:ascii="宋体" w:hAnsi="宋体"/>
          <w:bCs/>
          <w:szCs w:val="21"/>
        </w:rPr>
        <w:t>（3）</w:t>
      </w:r>
      <w:r>
        <w:rPr>
          <w:rFonts w:hint="eastAsia" w:ascii="宋体" w:hAnsi="宋体" w:cs="宋体"/>
          <w:bCs/>
          <w:kern w:val="0"/>
          <w:szCs w:val="21"/>
        </w:rPr>
        <w:t xml:space="preserve">企业之间以总包、分包方式实施的对外承包工程项目，其外派人数、月末在外人数由统计该项目完成营业额的企业统计。 </w:t>
      </w:r>
    </w:p>
    <w:p>
      <w:pPr>
        <w:widowControl/>
        <w:spacing w:before="312" w:beforeLines="100" w:after="312" w:afterLines="100"/>
        <w:ind w:firstLine="517" w:firstLineChars="245"/>
        <w:jc w:val="left"/>
        <w:rPr>
          <w:rFonts w:ascii="宋体" w:hAnsi="宋体" w:cs="宋体"/>
          <w:bCs/>
          <w:kern w:val="0"/>
          <w:szCs w:val="21"/>
        </w:rPr>
      </w:pPr>
      <w:r>
        <w:rPr>
          <w:rFonts w:hint="eastAsia" w:ascii="宋体" w:hAnsi="宋体" w:cs="宋体"/>
          <w:b/>
          <w:bCs/>
          <w:kern w:val="0"/>
          <w:szCs w:val="21"/>
        </w:rPr>
        <w:t>18、带动出口额：</w:t>
      </w:r>
      <w:r>
        <w:rPr>
          <w:rFonts w:hint="eastAsia" w:ascii="宋体" w:hAnsi="宋体" w:cs="宋体"/>
          <w:bCs/>
          <w:kern w:val="0"/>
          <w:szCs w:val="21"/>
        </w:rPr>
        <w:t>指为完成对外承包项目而带出国(境)外的各种设备、材料的出口总额。</w:t>
      </w:r>
    </w:p>
    <w:p>
      <w:pPr>
        <w:widowControl/>
        <w:adjustRightInd w:val="0"/>
        <w:snapToGrid w:val="0"/>
        <w:spacing w:before="100" w:beforeAutospacing="1" w:after="100" w:afterAutospacing="1"/>
        <w:ind w:firstLine="517" w:firstLineChars="245"/>
        <w:jc w:val="left"/>
        <w:rPr>
          <w:rFonts w:ascii="宋体" w:hAnsi="宋体" w:cs="宋体"/>
          <w:b/>
          <w:bCs/>
          <w:kern w:val="0"/>
          <w:szCs w:val="21"/>
        </w:rPr>
      </w:pPr>
      <w:r>
        <w:rPr>
          <w:rFonts w:hint="eastAsia" w:ascii="宋体" w:hAnsi="宋体" w:cs="宋体"/>
          <w:b/>
          <w:bCs/>
          <w:kern w:val="0"/>
          <w:szCs w:val="21"/>
        </w:rPr>
        <w:t>19、预计带动出口额：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422" w:firstLineChars="200"/>
        <w:rPr>
          <w:rFonts w:ascii="宋体" w:hAnsi="宋体"/>
          <w:bCs/>
          <w:szCs w:val="21"/>
        </w:rPr>
      </w:pPr>
      <w:r>
        <w:rPr>
          <w:rFonts w:hint="eastAsia" w:ascii="宋体" w:hAnsi="宋体"/>
          <w:b/>
          <w:bCs/>
          <w:szCs w:val="21"/>
        </w:rPr>
        <w:t xml:space="preserve"> 20、承包工程项目的资金来源</w:t>
      </w:r>
      <w:r>
        <w:rPr>
          <w:rFonts w:hint="eastAsia" w:ascii="宋体" w:hAnsi="宋体"/>
          <w:bCs/>
          <w:szCs w:val="21"/>
        </w:rPr>
        <w:t>：指企业承揽工程项目工程款的来源方，包括项目所在国政府、世界银行、其他区域性金融机构、中国政府援外项目款项、中国政府优惠出口买方信贷、业主自筹等。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21、承包工程项目承包方式：</w:t>
      </w:r>
      <w:r>
        <w:rPr>
          <w:rFonts w:hint="eastAsia" w:ascii="宋体" w:hAnsi="宋体"/>
          <w:bCs/>
          <w:szCs w:val="21"/>
        </w:rPr>
        <w:t>包括（1）传统承包方式，指企业与业主签订的仅是施工合同；（2）总承包方式，指企业与业主签订的是设计-建造（D&amp;B</w:t>
      </w:r>
      <w:r>
        <w:rPr>
          <w:rFonts w:ascii="宋体" w:hAnsi="宋体"/>
          <w:bCs/>
          <w:szCs w:val="21"/>
        </w:rPr>
        <w:t>）</w:t>
      </w:r>
      <w:r>
        <w:rPr>
          <w:rFonts w:hint="eastAsia" w:ascii="宋体" w:hAnsi="宋体"/>
          <w:bCs/>
          <w:szCs w:val="21"/>
        </w:rPr>
        <w:t>或设计-采购-施工(EPC)合同；（3）项目融资方式，包括特许经营（BOT及其衍生方式）类项目，公私合营（PPP）类项目等；（4）其他，除以上范围以外的承包方式，如设计咨询。</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22、承包工程项目分类的确定：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23、线路总里程：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24、装机容量：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32"/>
          <w:szCs w:val="32"/>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13"/>
        <w:tblW w:w="8640" w:type="dxa"/>
        <w:jc w:val="center"/>
        <w:tblInd w:w="108" w:type="dxa"/>
        <w:tblLayout w:type="fixed"/>
        <w:tblCellMar>
          <w:top w:w="0" w:type="dxa"/>
          <w:left w:w="108" w:type="dxa"/>
          <w:bottom w:w="0" w:type="dxa"/>
          <w:right w:w="108" w:type="dxa"/>
        </w:tblCellMar>
      </w:tblPr>
      <w:tblGrid>
        <w:gridCol w:w="1860"/>
        <w:gridCol w:w="6780"/>
      </w:tblGrid>
      <w:tr>
        <w:tblPrEx>
          <w:tblLayout w:type="fixed"/>
          <w:tblCellMar>
            <w:top w:w="0" w:type="dxa"/>
            <w:left w:w="108" w:type="dxa"/>
            <w:bottom w:w="0" w:type="dxa"/>
            <w:right w:w="108" w:type="dxa"/>
          </w:tblCellMar>
        </w:tblPrEx>
        <w:trPr>
          <w:trHeight w:val="674"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项目类别代码</w:t>
            </w:r>
          </w:p>
          <w:p>
            <w:pPr>
              <w:widowControl/>
              <w:jc w:val="center"/>
              <w:rPr>
                <w:rFonts w:ascii="宋体" w:hAnsi="宋体" w:cs="宋体"/>
                <w:b/>
                <w:bCs/>
                <w:kern w:val="0"/>
                <w:szCs w:val="21"/>
              </w:rPr>
            </w:pPr>
            <w:r>
              <w:rPr>
                <w:rFonts w:hint="eastAsia" w:ascii="宋体" w:hAnsi="宋体" w:cs="宋体"/>
                <w:b/>
                <w:bCs/>
                <w:kern w:val="0"/>
                <w:szCs w:val="21"/>
              </w:rPr>
              <w:t>（大类、小类）</w:t>
            </w:r>
          </w:p>
        </w:tc>
        <w:tc>
          <w:tcPr>
            <w:tcW w:w="678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类别名称</w:t>
            </w:r>
          </w:p>
        </w:tc>
      </w:tr>
      <w:tr>
        <w:tblPrEx>
          <w:tblLayout w:type="fixed"/>
          <w:tblCellMar>
            <w:top w:w="0" w:type="dxa"/>
            <w:left w:w="108" w:type="dxa"/>
            <w:bottom w:w="0" w:type="dxa"/>
            <w:right w:w="108" w:type="dxa"/>
          </w:tblCellMar>
        </w:tblPrEx>
        <w:trPr>
          <w:trHeight w:val="328" w:hRule="atLeast"/>
          <w:jc w:val="center"/>
        </w:trPr>
        <w:tc>
          <w:tcPr>
            <w:tcW w:w="186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A </w:t>
            </w:r>
          </w:p>
        </w:tc>
        <w:tc>
          <w:tcPr>
            <w:tcW w:w="678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一般建筑项目</w:t>
            </w:r>
          </w:p>
        </w:tc>
      </w:tr>
      <w:tr>
        <w:tblPrEx>
          <w:tblLayout w:type="fixed"/>
          <w:tblCellMar>
            <w:top w:w="0" w:type="dxa"/>
            <w:left w:w="108" w:type="dxa"/>
            <w:bottom w:w="0" w:type="dxa"/>
            <w:right w:w="108" w:type="dxa"/>
          </w:tblCellMar>
        </w:tblPrEx>
        <w:trPr>
          <w:trHeight w:val="45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商用建筑（包括用于商业活动的商场、市场以及商用办公楼等）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政府办公设施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教育用设施（包括幼儿园、学校等）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监狱惩戒机构</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卫生保健机构（包括医院以及与卫生保健相关的场所建设）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物流分销、仓储设施（包括各类仓库、商品分拨中心等）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酒店、汽车旅馆、会展中心</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多户单元住宅（包括供多户居民居住的住宅、公寓等）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体育设施（包括体育场、运动中心等）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游乐场所、主题公园</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宗教和文化设施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土地平整</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B</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工业建设项目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钢铁和有色金属加工厂建设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化学品（非石油）厂建设（包括化肥厂等）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制药厂建设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食品和饮料加工厂建设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纸浆和造纸厂建设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非金属矿物制品厂建设（包括水泥厂、石灰厂、玻璃厂等）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C</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制造加工设施建设项目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汽车装配和零部件制造厂建设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半导体制造厂建设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电子装配厂建设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航空航天设备制造厂建设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D </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水利建设项目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水处理、海水淡化厂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供水管线、沟渠建设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水坝、水库</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防洪堤坝、海堤建设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打井工程</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E</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废水（物）处理项目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污水处理厂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卫生间、下水道处理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固体废弃物处理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F</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交通运输建设项目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公路（含高速公路）</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桥梁</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港口及港口设施建设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机场（含航站楼）</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铁路（含地铁、轻轨及相关公共交通枢纽）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G</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危险品处理项目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化学品处理和土壤（指遭受污染的土壤）修复</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核废料处理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石棉和铅减排处理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空气净化设施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H</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电力工程建设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化石燃料电厂（石油、天然气和煤做为燃料的电厂）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水电站</w:t>
            </w:r>
          </w:p>
        </w:tc>
      </w:tr>
      <w:tr>
        <w:tblPrEx>
          <w:tblLayout w:type="fixed"/>
          <w:tblCellMar>
            <w:top w:w="0" w:type="dxa"/>
            <w:left w:w="108" w:type="dxa"/>
            <w:bottom w:w="0" w:type="dxa"/>
            <w:right w:w="108" w:type="dxa"/>
          </w:tblCellMar>
        </w:tblPrEx>
        <w:trPr>
          <w:trHeight w:val="36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热电联产电厂（指同时向用户供给电能和热能的火力发电厂）、废燃料电厂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风力发电站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太阳能发电站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输配电工程（包括输电线路工程、变电工程、换流站工程等）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电站运营维护（含改造）</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I</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石油化工项目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炼油厂和石化厂建设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油气管线建设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海上石油平台建设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01-03项服务维护运转</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J</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通讯工程建设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广播电视转播塔施工</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数据和网络中心建设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通讯传送架与设施的施工（含地下和水下通信电缆）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通信线路和设备安装</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航空航天工程（含卫星发射等）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K</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与采矿业相关的地质勘察</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矿山工程建筑（含坑道、隧道、井道的挖掘、搭建等）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bl>
    <w:p>
      <w:pPr>
        <w:widowControl/>
        <w:spacing w:line="600" w:lineRule="exact"/>
        <w:rPr>
          <w:rFonts w:ascii="宋体" w:hAnsi="宋体" w:cs="宋体"/>
          <w:b/>
          <w:color w:val="000000"/>
          <w:kern w:val="0"/>
          <w:sz w:val="24"/>
        </w:rPr>
      </w:pPr>
    </w:p>
    <w:p>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（二）关于统计上对公有和非公有控股经济的分类办法</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hint="eastAsia"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hint="eastAsia"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54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2"/>
        </w:numPr>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numPr>
          <w:ilvl w:val="0"/>
          <w:numId w:val="0"/>
        </w:numPr>
        <w:spacing w:line="600" w:lineRule="exact"/>
        <w:jc w:val="center"/>
        <w:rPr>
          <w:rFonts w:hint="eastAsia" w:ascii="宋体" w:hAnsi="宋体" w:cs="宋体"/>
          <w:b/>
          <w:color w:val="000000"/>
          <w:spacing w:val="8"/>
          <w:kern w:val="0"/>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201</w:t>
      </w:r>
      <w:r>
        <w:rPr>
          <w:rFonts w:hint="eastAsia" w:ascii="仿宋_GB2312" w:hAnsi="宋体" w:eastAsia="仿宋_GB2312" w:cs="宋体"/>
          <w:kern w:val="0"/>
          <w:sz w:val="36"/>
          <w:szCs w:val="36"/>
          <w:lang w:val="en-US" w:eastAsia="zh-CN"/>
        </w:rPr>
        <w:t>9</w:t>
      </w:r>
      <w:r>
        <w:rPr>
          <w:rFonts w:hint="eastAsia" w:ascii="仿宋_GB2312" w:hAnsi="宋体" w:eastAsia="仿宋_GB2312" w:cs="宋体"/>
          <w:kern w:val="0"/>
          <w:sz w:val="36"/>
          <w:szCs w:val="36"/>
        </w:rPr>
        <w:t>年1月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w:t>
      </w:r>
      <w:r>
        <w:rPr>
          <w:rFonts w:hint="eastAsia" w:ascii="仿宋_GB2312" w:hAnsi="宋体" w:eastAsia="仿宋_GB2312" w:cs="宋体"/>
          <w:b w:val="0"/>
          <w:bCs/>
          <w:kern w:val="0"/>
          <w:sz w:val="28"/>
          <w:szCs w:val="28"/>
          <w:lang w:val="en-US" w:eastAsia="zh-CN"/>
        </w:rPr>
        <w:t>第二十五条</w:t>
      </w:r>
      <w:r>
        <w:rPr>
          <w:rFonts w:hint="eastAsia" w:ascii="仿宋_GB2312" w:hAnsi="宋体" w:eastAsia="仿宋_GB2312" w:cs="宋体"/>
          <w:b w:val="0"/>
          <w:bCs/>
          <w:kern w:val="0"/>
          <w:sz w:val="28"/>
          <w:szCs w:val="28"/>
        </w:rPr>
        <w:t>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w:t>
      </w: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4</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both"/>
        <w:textAlignment w:val="auto"/>
        <w:outlineLvl w:val="9"/>
        <w:rPr>
          <w:rFonts w:ascii="宋体" w:hAnsi="宋体" w:cs="宋体"/>
          <w:kern w:val="0"/>
          <w:szCs w:val="21"/>
        </w:rPr>
      </w:pPr>
      <w:r>
        <w:rPr>
          <w:rFonts w:hint="eastAsia" w:ascii="宋体" w:hAnsi="宋体" w:cs="宋体"/>
          <w:kern w:val="0"/>
          <w:szCs w:val="21"/>
        </w:rPr>
        <w:t>三、调查表式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2</w:t>
      </w:r>
      <w:r>
        <w:rPr>
          <w:rFonts w:hint="eastAsia" w:ascii="宋体" w:hAnsi="宋体"/>
          <w:bCs/>
          <w:szCs w:val="21"/>
        </w:rPr>
        <w:t>7</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2</w:t>
      </w:r>
      <w:r>
        <w:rPr>
          <w:rFonts w:hint="eastAsia" w:ascii="宋体" w:hAnsi="宋体"/>
          <w:bCs/>
          <w:szCs w:val="21"/>
        </w:rPr>
        <w:t>8</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firstLine="315" w:firstLineChars="150"/>
        <w:jc w:val="distribute"/>
        <w:textAlignment w:val="auto"/>
        <w:outlineLvl w:val="9"/>
        <w:rPr>
          <w:rFonts w:ascii="宋体" w:hAnsi="宋体"/>
          <w:bCs/>
          <w:szCs w:val="21"/>
        </w:rPr>
      </w:pPr>
      <w:r>
        <w:rPr>
          <w:rFonts w:hint="eastAsia" w:ascii="宋体" w:hAnsi="宋体"/>
          <w:bCs/>
          <w:szCs w:val="21"/>
        </w:rPr>
        <w:t>（三）对外劳务合作项目明细（LW3表） ………………………………………………………</w:t>
      </w:r>
      <w:r>
        <w:rPr>
          <w:rFonts w:hint="eastAsia" w:ascii="宋体" w:hAnsi="宋体"/>
          <w:bCs/>
          <w:szCs w:val="21"/>
          <w:lang w:val="en-US" w:eastAsia="zh-CN"/>
        </w:rPr>
        <w:t>2</w:t>
      </w:r>
      <w:r>
        <w:rPr>
          <w:rFonts w:hint="eastAsia" w:ascii="宋体" w:hAnsi="宋体"/>
          <w:bCs/>
          <w:szCs w:val="21"/>
        </w:rPr>
        <w:t>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lang w:val="en-US"/>
        </w:rPr>
      </w:pPr>
      <w:r>
        <w:rPr>
          <w:rFonts w:hint="eastAsia" w:ascii="宋体" w:hAnsi="宋体"/>
          <w:bCs/>
          <w:szCs w:val="21"/>
        </w:rPr>
        <w:t>四、主要指标解释 ……………………………………………………………………………………</w:t>
      </w:r>
      <w:r>
        <w:rPr>
          <w:rFonts w:hint="eastAsia" w:ascii="宋体" w:hAnsi="宋体"/>
          <w:bCs/>
          <w:szCs w:val="21"/>
          <w:lang w:val="en-US" w:eastAsia="zh-CN"/>
        </w:rPr>
        <w:t>30</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bCs/>
          <w:szCs w:val="21"/>
        </w:rPr>
        <w:t>五、附录 ………………………………………………………………………………………………</w:t>
      </w:r>
      <w:r>
        <w:rPr>
          <w:rFonts w:hint="eastAsia" w:ascii="宋体" w:hAnsi="宋体"/>
          <w:bCs/>
          <w:szCs w:val="21"/>
          <w:lang w:val="en-US" w:eastAsia="zh-CN"/>
        </w:rPr>
        <w:t>3</w:t>
      </w:r>
      <w:r>
        <w:rPr>
          <w:rFonts w:hint="eastAsia" w:ascii="宋体" w:hAnsi="宋体"/>
          <w:bCs/>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color w:val="000000"/>
          <w:kern w:val="0"/>
          <w:szCs w:val="21"/>
        </w:rPr>
      </w:pPr>
      <w:r>
        <w:rPr>
          <w:rFonts w:hint="eastAsia" w:ascii="宋体" w:hAnsi="宋体"/>
          <w:bCs/>
          <w:szCs w:val="21"/>
          <w:lang w:val="en-US" w:eastAsia="zh-CN"/>
        </w:rPr>
        <w:t xml:space="preserve">  </w:t>
      </w:r>
      <w:r>
        <w:rPr>
          <w:rFonts w:hint="eastAsia" w:ascii="宋体" w:hAnsi="宋体"/>
          <w:bCs/>
          <w:szCs w:val="21"/>
        </w:rPr>
        <w:t>（一）</w:t>
      </w:r>
      <w:r>
        <w:rPr>
          <w:rFonts w:hint="eastAsia" w:ascii="宋体" w:hAnsi="宋体" w:cs="宋体"/>
          <w:color w:val="000000"/>
          <w:kern w:val="0"/>
          <w:szCs w:val="21"/>
        </w:rPr>
        <w:t>关于统计上对公有和非公有控股经济的分类办法</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（二）向国家统计局提供的统计资料清单  …………………………………………………32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（三）向统计信息共享数据库提供的统计资料清单 ………………………………………………32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distribute"/>
        <w:textAlignment w:val="auto"/>
        <w:outlineLvl w:val="9"/>
        <w:rPr>
          <w:rFonts w:hint="eastAsia" w:ascii="宋体" w:hAnsi="宋体" w:cs="宋体"/>
          <w:color w:val="000000"/>
          <w:spacing w:val="8"/>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textAlignment w:val="auto"/>
        <w:outlineLvl w:val="9"/>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widowControl/>
        <w:spacing w:before="100" w:beforeAutospacing="1" w:after="100" w:afterAutospacing="1" w:line="384"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br w:type="page"/>
      </w:r>
    </w:p>
    <w:p>
      <w:pPr>
        <w:widowControl/>
        <w:spacing w:before="100" w:beforeAutospacing="1" w:after="100" w:afterAutospacing="1" w:line="384" w:lineRule="auto"/>
        <w:jc w:val="center"/>
        <w:rPr>
          <w:rFonts w:ascii="黑体" w:hAnsi="宋体" w:eastAsia="黑体" w:cs="宋体"/>
          <w:b/>
          <w:kern w:val="0"/>
          <w:sz w:val="32"/>
          <w:szCs w:val="32"/>
        </w:rPr>
      </w:pPr>
      <w:r>
        <w:rPr>
          <w:rFonts w:hint="eastAsia" w:ascii="黑体" w:hAnsi="宋体" w:eastAsia="黑体" w:cs="宋体"/>
          <w:b/>
          <w:kern w:val="0"/>
          <w:sz w:val="32"/>
          <w:szCs w:val="32"/>
        </w:rPr>
        <w:t>一、  总 说 明</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（一）调查目的</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为科学、有效地组织全国对外劳务合作业务统计工作，充分发挥统计信息、咨询、监督作用，依照《中华人民共和国统计法》、《中华人民共和国统计法实施细则》，特制定本制度。</w:t>
      </w:r>
      <w:r>
        <w:rPr>
          <w:rFonts w:hint="eastAsia" w:asciiTheme="minorEastAsia" w:hAnsiTheme="minorEastAsia" w:eastAsiaTheme="minorEastAsia" w:cstheme="minorEastAsia"/>
          <w:kern w:val="0"/>
          <w:szCs w:val="21"/>
        </w:rPr>
        <w:t>对外</w:t>
      </w:r>
      <w:r>
        <w:rPr>
          <w:rFonts w:hint="eastAsia" w:asciiTheme="minorEastAsia" w:hAnsiTheme="minorEastAsia" w:eastAsiaTheme="minorEastAsia" w:cstheme="minor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（二）调查</w:t>
      </w:r>
      <w:r>
        <w:rPr>
          <w:rFonts w:hint="eastAsia" w:asciiTheme="minorEastAsia" w:hAnsiTheme="minorEastAsia" w:eastAsiaTheme="minorEastAsia" w:cstheme="minorEastAsia"/>
          <w:b/>
          <w:lang w:eastAsia="zh-CN"/>
        </w:rPr>
        <w:t>对象和</w:t>
      </w:r>
      <w:r>
        <w:rPr>
          <w:rFonts w:hint="eastAsia" w:asciiTheme="minorEastAsia" w:hAnsiTheme="minorEastAsia" w:eastAsiaTheme="minorEastAsia" w:cstheme="minorEastAsia"/>
          <w:b/>
        </w:rPr>
        <w:t>统计范围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1、对外劳务合作指组织劳务人员赴其他国家或地区为国外的企业或机构工作的经营性活动；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2、本制度适用于我国境内各级商务主管部门和获得对外劳务合作经营资格的企业以及海员外派机构（以下简称企业）；</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3、中国公民个人到境外工作不属对外劳务合作业务统计范畴；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4、企业与境外中资企业（包括中国企业为承揽境外承包工程项目而设立的境外企业）签订劳务合作合同，按照合同约定派人员赴境外工作的活动纳入对外劳务合作统计</w:t>
      </w:r>
      <w:r>
        <w:rPr>
          <w:rFonts w:hint="eastAsia" w:asciiTheme="minorEastAsia" w:hAnsiTheme="minorEastAsia" w:eastAsiaTheme="minorEastAsia" w:cstheme="minorEastAsia"/>
          <w:bCs/>
          <w:kern w:val="0"/>
          <w:szCs w:val="21"/>
          <w:lang w:eastAsia="zh-CN"/>
        </w:rPr>
        <w:t>。</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（三）主要调查内容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对外劳务合作业务统计报表包括对外劳务合作派出人员构成表（LW1）、对外劳务合作期末在外人员构成表（LW2）和对外劳务合作项目明细表（LW3）。其中主要指标内容包括：</w:t>
      </w:r>
      <w:r>
        <w:rPr>
          <w:rFonts w:hint="eastAsia" w:asciiTheme="minorEastAsia" w:hAnsiTheme="minorEastAsia" w:eastAsiaTheme="minorEastAsia" w:cstheme="minorEastAsia"/>
          <w:bCs/>
          <w:kern w:val="0"/>
          <w:szCs w:val="21"/>
        </w:rPr>
        <w:t>派出人数、月末在外人数、新签劳务人员合同工资总额、劳务人员实际收入总额等。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（四）调查频率</w:t>
      </w:r>
      <w:r>
        <w:rPr>
          <w:rFonts w:hint="eastAsia" w:asciiTheme="minorEastAsia" w:hAnsiTheme="minorEastAsia" w:eastAsiaTheme="minorEastAsia" w:cstheme="minorEastAsia"/>
          <w:b/>
          <w:lang w:eastAsia="zh-CN"/>
        </w:rPr>
        <w:t>和</w:t>
      </w:r>
      <w:r>
        <w:rPr>
          <w:rFonts w:hint="eastAsia" w:asciiTheme="minorEastAsia" w:hAnsiTheme="minorEastAsia" w:eastAsiaTheme="minorEastAsia" w:cstheme="minorEastAsia"/>
          <w:b/>
        </w:rPr>
        <w:t>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调查频率为月报。调查时间为1日至</w:t>
      </w:r>
      <w:r>
        <w:rPr>
          <w:rFonts w:hint="eastAsia" w:asciiTheme="minorEastAsia" w:hAnsiTheme="minorEastAsia" w:eastAsiaTheme="minorEastAsia" w:cstheme="minorEastAsia"/>
          <w:lang w:eastAsia="zh-CN"/>
        </w:rPr>
        <w:t>当月</w:t>
      </w:r>
      <w:r>
        <w:rPr>
          <w:rFonts w:hint="eastAsia" w:asciiTheme="minorEastAsia" w:hAnsiTheme="minorEastAsia" w:eastAsiaTheme="minorEastAsia" w:cstheme="minorEastAsia"/>
        </w:rPr>
        <w:t>最后一日。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（五）调查方法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本制度采用全面调查的方法。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（六）组织方式和渠道</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1、组织方式：对外劳务合作业务统计实行统一领导，分级管理。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（1）商务部负责全国对外劳务合作业务统计工作，管理各省、自治区、直辖市、计划单列市商务主管部门的对外承包工程业务统计工作，综合编制、汇总全国对外劳务合作业务统计资料。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（3）企业负责本单位的对外劳务合作业务统计工作，编制统计资料并上报地方商务主管部门。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（七）填报要求和质量控制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2、月后10日内，由调查范围内企业通过登录对外投资合作信息服务，上传前一个月的数据。</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3、本制度使用的国别（地区）统计代码，按国家统计局制定的《国别（地区）统计代码》执行。</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4、企业要认真履行对外劳务合作统计报表填报义务，明确统计责任，不得虚报、瞒报、漏报、重报统计数据。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szCs w:val="21"/>
        </w:rPr>
        <w:t>企业是否按照统计制度要求报送对外</w:t>
      </w:r>
      <w:r>
        <w:rPr>
          <w:rFonts w:hint="eastAsia" w:asciiTheme="minorEastAsia" w:hAnsiTheme="minorEastAsia" w:cstheme="minorEastAsia"/>
          <w:bCs/>
          <w:szCs w:val="21"/>
          <w:lang w:eastAsia="zh-CN"/>
        </w:rPr>
        <w:t>劳务合作业务</w:t>
      </w:r>
      <w:r>
        <w:rPr>
          <w:rFonts w:hint="eastAsia" w:asciiTheme="minorEastAsia" w:hAnsiTheme="minorEastAsia" w:eastAsiaTheme="minorEastAsia" w:cstheme="minorEastAsia"/>
          <w:bCs/>
          <w:szCs w:val="21"/>
        </w:rPr>
        <w:t>统计资料，已列入商务部市场监管执法事项“双随机、一公开”抽查内容。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（八）统计资料公布</w:t>
      </w:r>
      <w:r>
        <w:rPr>
          <w:rFonts w:hint="eastAsia" w:asciiTheme="minorEastAsia" w:hAnsiTheme="minorEastAsia" w:eastAsiaTheme="minorEastAsia" w:cstheme="minorEastAsia"/>
          <w:b/>
          <w:lang w:eastAsia="zh-CN"/>
        </w:rPr>
        <w:t>的时间、渠道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1、对外劳务合作业务统计数据由商务部定期发布，月度数据于月后</w:t>
      </w:r>
      <w:r>
        <w:rPr>
          <w:rFonts w:hint="eastAsia" w:asciiTheme="minorEastAsia" w:hAnsiTheme="minorEastAsia" w:eastAsiaTheme="minorEastAsia" w:cstheme="minorEastAsia"/>
          <w:bCs/>
          <w:kern w:val="0"/>
          <w:szCs w:val="21"/>
          <w:lang w:val="en-US" w:eastAsia="zh-CN"/>
        </w:rPr>
        <w:t>30日</w:t>
      </w:r>
      <w:r>
        <w:rPr>
          <w:rFonts w:hint="eastAsia" w:asciiTheme="minorEastAsia" w:hAnsiTheme="minorEastAsia" w:eastAsiaTheme="minorEastAsia" w:cstheme="minorEastAsia"/>
          <w:bCs/>
          <w:kern w:val="0"/>
          <w:szCs w:val="21"/>
        </w:rPr>
        <w:t>内，通过商务部政府网站(</w:t>
      </w:r>
      <w:r>
        <w:rPr>
          <w:rFonts w:hint="eastAsia" w:asciiTheme="minorEastAsia" w:hAnsiTheme="minorEastAsia" w:eastAsiaTheme="minorEastAsia" w:cstheme="minorEastAsia"/>
          <w:bCs/>
          <w:kern w:val="0"/>
          <w:szCs w:val="21"/>
          <w:lang w:val="en-US" w:eastAsia="zh-CN"/>
        </w:rPr>
        <w:t>http://</w:t>
      </w:r>
      <w:r>
        <w:rPr>
          <w:rFonts w:hint="eastAsia" w:asciiTheme="minorEastAsia" w:hAnsiTheme="minorEastAsia" w:eastAsiaTheme="minorEastAsia" w:cstheme="minorEastAsia"/>
          <w:bCs/>
          <w:kern w:val="0"/>
          <w:szCs w:val="21"/>
        </w:rPr>
        <w:t>www.mofcom.gov.cn)或商务部例行发布会对外公布，主要指标包括派出人数、期末在外人数等。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rPr>
        <w:t>在确保国家机密和企业商业秘密不泄露的前提下，严格按照《中华人民共和国统计法》及其实施细则和国家有关规定，与其他政府部门共享对外劳务合作业务统计资料。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pPr>
      <w:r>
        <w:rPr>
          <w:rFonts w:hint="eastAsia" w:asciiTheme="minorEastAsia" w:hAnsiTheme="minorEastAsia" w:eastAsiaTheme="minorEastAsia" w:cstheme="minorEastAsia"/>
          <w:bCs/>
          <w:kern w:val="0"/>
          <w:szCs w:val="21"/>
        </w:rPr>
        <w:t>3、对外提供的对外劳务合作业务统计资料，以商务部发布的统计</w:t>
      </w:r>
      <w:r>
        <w:rPr>
          <w:rFonts w:hint="eastAsia" w:ascii="宋体" w:hAnsi="宋体" w:cs="宋体"/>
          <w:bCs/>
          <w:kern w:val="0"/>
          <w:szCs w:val="21"/>
        </w:rPr>
        <w:t>资料为准。</w:t>
      </w:r>
      <w:r>
        <w:rPr>
          <w:rFonts w:ascii="宋体" w:hAnsi="宋体" w:cs="宋体"/>
          <w:bCs/>
          <w:kern w:val="0"/>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13"/>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729" w:type="dxa"/>
            <w:tcBorders>
              <w:tl2br w:val="nil"/>
              <w:tr2bl w:val="nil"/>
            </w:tcBorders>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3"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9</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hint="eastAsia"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三、调</w:t>
      </w:r>
      <w:r>
        <w:rPr>
          <w:rFonts w:hint="eastAsia" w:ascii="黑体" w:eastAsia="黑体"/>
          <w:sz w:val="32"/>
          <w:szCs w:val="32"/>
          <w:lang w:val="en-US" w:eastAsia="zh-CN"/>
        </w:rPr>
        <w:t xml:space="preserve"> </w:t>
      </w:r>
      <w:r>
        <w:rPr>
          <w:rFonts w:hint="eastAsia" w:ascii="黑体" w:eastAsia="黑体"/>
          <w:sz w:val="32"/>
          <w:szCs w:val="32"/>
        </w:rPr>
        <w:t>查</w:t>
      </w:r>
      <w:r>
        <w:rPr>
          <w:rFonts w:hint="eastAsia" w:ascii="黑体" w:eastAsia="黑体"/>
          <w:sz w:val="32"/>
          <w:szCs w:val="32"/>
          <w:lang w:val="en-US" w:eastAsia="zh-CN"/>
        </w:rPr>
        <w:t xml:space="preserve"> </w:t>
      </w:r>
      <w:r>
        <w:rPr>
          <w:rFonts w:hint="eastAsia" w:ascii="黑体" w:eastAsia="黑体"/>
          <w:sz w:val="32"/>
          <w:szCs w:val="32"/>
        </w:rPr>
        <w:t>表</w:t>
      </w:r>
      <w:r>
        <w:rPr>
          <w:rFonts w:hint="eastAsia" w:ascii="黑体" w:eastAsia="黑体"/>
          <w:sz w:val="32"/>
          <w:szCs w:val="32"/>
          <w:lang w:val="en-US" w:eastAsia="zh-CN"/>
        </w:rPr>
        <w:t xml:space="preserve"> </w:t>
      </w:r>
      <w:r>
        <w:rPr>
          <w:rFonts w:hint="eastAsia" w:ascii="黑体" w:eastAsia="黑体"/>
          <w:sz w:val="32"/>
          <w:szCs w:val="32"/>
        </w:rPr>
        <w:t>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号：LW1</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713" w:type="dxa"/>
            <w:tcBorders>
              <w:top w:val="single" w:color="auto" w:sz="8" w:space="0"/>
              <w:left w:val="nil"/>
              <w:bottom w:val="nil"/>
              <w:right w:val="nil"/>
            </w:tcBorders>
          </w:tcPr>
          <w:p>
            <w:pPr>
              <w:rPr>
                <w:rFonts w:ascii="宋体" w:hAnsi="宋体"/>
                <w:bCs/>
                <w:sz w:val="18"/>
                <w:szCs w:val="18"/>
              </w:rPr>
            </w:pPr>
          </w:p>
        </w:tc>
        <w:tc>
          <w:tcPr>
            <w:tcW w:w="938"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713" w:type="dxa"/>
            <w:tcBorders>
              <w:top w:val="nil"/>
              <w:left w:val="nil"/>
              <w:bottom w:val="single" w:color="auto" w:sz="8" w:space="0"/>
              <w:right w:val="nil"/>
            </w:tcBorders>
          </w:tcPr>
          <w:p>
            <w:pPr>
              <w:rPr>
                <w:rFonts w:ascii="宋体" w:hAnsi="宋体"/>
                <w:bCs/>
                <w:sz w:val="18"/>
                <w:szCs w:val="18"/>
              </w:rPr>
            </w:pPr>
          </w:p>
        </w:tc>
        <w:tc>
          <w:tcPr>
            <w:tcW w:w="938"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829" w:type="dxa"/>
            <w:tcBorders>
              <w:top w:val="single" w:color="auto" w:sz="8" w:space="0"/>
              <w:left w:val="nil"/>
              <w:bottom w:val="nil"/>
              <w:right w:val="nil"/>
            </w:tcBorders>
          </w:tcPr>
          <w:p>
            <w:pPr>
              <w:rPr>
                <w:rFonts w:ascii="宋体" w:hAnsi="宋体"/>
                <w:bCs/>
                <w:sz w:val="18"/>
                <w:szCs w:val="18"/>
              </w:rPr>
            </w:pPr>
          </w:p>
        </w:tc>
        <w:tc>
          <w:tcPr>
            <w:tcW w:w="928"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829" w:type="dxa"/>
            <w:tcBorders>
              <w:top w:val="nil"/>
              <w:left w:val="nil"/>
              <w:bottom w:val="single" w:color="auto" w:sz="8" w:space="0"/>
              <w:right w:val="nil"/>
            </w:tcBorders>
          </w:tcPr>
          <w:p>
            <w:pPr>
              <w:rPr>
                <w:rFonts w:ascii="宋体" w:hAnsi="宋体"/>
                <w:bCs/>
                <w:sz w:val="18"/>
                <w:szCs w:val="18"/>
              </w:rPr>
            </w:pPr>
          </w:p>
        </w:tc>
        <w:tc>
          <w:tcPr>
            <w:tcW w:w="928"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对外劳务合作期末在外人员构成</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号：LW2</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２０   </w:t>
      </w:r>
      <w:r>
        <w:rPr>
          <w:rFonts w:hint="eastAsia" w:ascii="宋体" w:hAnsi="宋体"/>
          <w:bCs/>
          <w:sz w:val="18"/>
          <w:szCs w:val="18"/>
        </w:rPr>
        <w:t xml:space="preserve">  年      月</w:t>
      </w:r>
    </w:p>
    <w:tbl>
      <w:tblPr>
        <w:tblStyle w:val="13"/>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620" w:type="dxa"/>
            <w:tcBorders>
              <w:top w:val="single" w:color="auto" w:sz="8" w:space="0"/>
              <w:left w:val="nil"/>
              <w:bottom w:val="nil"/>
              <w:right w:val="nil"/>
            </w:tcBorders>
          </w:tcPr>
          <w:p>
            <w:pPr>
              <w:rPr>
                <w:rFonts w:ascii="宋体" w:hAnsi="宋体"/>
                <w:bCs/>
                <w:sz w:val="18"/>
                <w:szCs w:val="18"/>
              </w:rPr>
            </w:pPr>
          </w:p>
        </w:tc>
        <w:tc>
          <w:tcPr>
            <w:tcW w:w="106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620" w:type="dxa"/>
            <w:tcBorders>
              <w:top w:val="nil"/>
              <w:left w:val="nil"/>
              <w:bottom w:val="single" w:color="auto" w:sz="8" w:space="0"/>
              <w:right w:val="nil"/>
            </w:tcBorders>
          </w:tcPr>
          <w:p>
            <w:pPr>
              <w:rPr>
                <w:rFonts w:ascii="宋体" w:hAnsi="宋体"/>
                <w:bCs/>
                <w:sz w:val="18"/>
                <w:szCs w:val="18"/>
              </w:rPr>
            </w:pPr>
          </w:p>
        </w:tc>
        <w:tc>
          <w:tcPr>
            <w:tcW w:w="106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902" w:type="dxa"/>
            <w:tcBorders>
              <w:top w:val="single" w:color="auto" w:sz="8" w:space="0"/>
              <w:left w:val="nil"/>
              <w:bottom w:val="nil"/>
              <w:right w:val="nil"/>
            </w:tcBorders>
          </w:tcPr>
          <w:p>
            <w:pPr>
              <w:rPr>
                <w:rFonts w:ascii="宋体" w:hAnsi="宋体"/>
                <w:bCs/>
                <w:sz w:val="18"/>
                <w:szCs w:val="18"/>
              </w:rPr>
            </w:pPr>
          </w:p>
        </w:tc>
        <w:tc>
          <w:tcPr>
            <w:tcW w:w="913"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902" w:type="dxa"/>
            <w:tcBorders>
              <w:top w:val="nil"/>
              <w:left w:val="nil"/>
              <w:bottom w:val="single" w:color="auto" w:sz="8" w:space="0"/>
              <w:right w:val="nil"/>
            </w:tcBorders>
          </w:tcPr>
          <w:p>
            <w:pPr>
              <w:rPr>
                <w:rFonts w:ascii="宋体" w:hAnsi="宋体"/>
                <w:bCs/>
                <w:sz w:val="18"/>
                <w:szCs w:val="18"/>
              </w:rPr>
            </w:pPr>
          </w:p>
        </w:tc>
        <w:tc>
          <w:tcPr>
            <w:tcW w:w="913"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对外劳务合作项目明细</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6167"/>
        <w:gridCol w:w="3793"/>
      </w:tblGrid>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号：LW3</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tcPr>
          <w:p>
            <w:pPr>
              <w:rPr>
                <w:rFonts w:ascii="宋体" w:hAnsi="宋体"/>
                <w:bCs/>
                <w:sz w:val="18"/>
                <w:szCs w:val="18"/>
              </w:rPr>
            </w:pPr>
          </w:p>
        </w:tc>
        <w:tc>
          <w:tcPr>
            <w:tcW w:w="1980" w:type="dxa"/>
            <w:tcBorders>
              <w:top w:val="single" w:color="auto" w:sz="8" w:space="0"/>
              <w:left w:val="nil"/>
              <w:bottom w:val="nil"/>
              <w:right w:val="nil"/>
            </w:tcBorders>
          </w:tcPr>
          <w:p>
            <w:pPr>
              <w:rPr>
                <w:rFonts w:ascii="宋体" w:hAnsi="宋体"/>
                <w:bCs/>
                <w:sz w:val="18"/>
                <w:szCs w:val="18"/>
              </w:rPr>
            </w:pPr>
          </w:p>
        </w:tc>
        <w:tc>
          <w:tcPr>
            <w:tcW w:w="1755" w:type="dxa"/>
            <w:tcBorders>
              <w:top w:val="single" w:color="auto" w:sz="8" w:space="0"/>
              <w:left w:val="nil"/>
              <w:bottom w:val="nil"/>
              <w:right w:val="nil"/>
            </w:tcBorders>
          </w:tcPr>
          <w:p>
            <w:pPr>
              <w:rPr>
                <w:rFonts w:ascii="宋体" w:hAnsi="宋体"/>
                <w:bCs/>
                <w:sz w:val="18"/>
                <w:szCs w:val="18"/>
              </w:rPr>
            </w:pPr>
          </w:p>
        </w:tc>
        <w:tc>
          <w:tcPr>
            <w:tcW w:w="2160"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tcPr>
          <w:p>
            <w:pPr>
              <w:rPr>
                <w:rFonts w:ascii="宋体" w:hAnsi="宋体"/>
                <w:bCs/>
                <w:sz w:val="18"/>
                <w:szCs w:val="18"/>
              </w:rPr>
            </w:pPr>
          </w:p>
        </w:tc>
        <w:tc>
          <w:tcPr>
            <w:tcW w:w="1980" w:type="dxa"/>
            <w:tcBorders>
              <w:top w:val="nil"/>
              <w:left w:val="nil"/>
              <w:bottom w:val="single" w:color="auto" w:sz="8" w:space="0"/>
              <w:right w:val="nil"/>
            </w:tcBorders>
          </w:tcPr>
          <w:p>
            <w:pPr>
              <w:rPr>
                <w:rFonts w:ascii="宋体" w:hAnsi="宋体"/>
                <w:bCs/>
                <w:sz w:val="18"/>
                <w:szCs w:val="18"/>
              </w:rPr>
            </w:pPr>
          </w:p>
        </w:tc>
        <w:tc>
          <w:tcPr>
            <w:tcW w:w="1755" w:type="dxa"/>
            <w:tcBorders>
              <w:top w:val="nil"/>
              <w:left w:val="nil"/>
              <w:bottom w:val="single" w:color="auto" w:sz="8" w:space="0"/>
              <w:right w:val="nil"/>
            </w:tcBorders>
          </w:tcPr>
          <w:p>
            <w:pPr>
              <w:rPr>
                <w:rFonts w:ascii="宋体" w:hAnsi="宋体"/>
                <w:bCs/>
                <w:sz w:val="18"/>
                <w:szCs w:val="18"/>
              </w:rPr>
            </w:pPr>
          </w:p>
        </w:tc>
        <w:tc>
          <w:tcPr>
            <w:tcW w:w="2160"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8" w:space="0"/>
              <w:left w:val="nil"/>
              <w:bottom w:val="nil"/>
              <w:right w:val="nil"/>
            </w:tcBorders>
          </w:tcPr>
          <w:p>
            <w:pPr>
              <w:rPr>
                <w:rFonts w:ascii="宋体" w:hAnsi="宋体"/>
                <w:bCs/>
                <w:sz w:val="18"/>
                <w:szCs w:val="18"/>
              </w:rPr>
            </w:pPr>
          </w:p>
        </w:tc>
        <w:tc>
          <w:tcPr>
            <w:tcW w:w="1418" w:type="dxa"/>
            <w:tcBorders>
              <w:top w:val="single" w:color="auto" w:sz="8" w:space="0"/>
              <w:left w:val="nil"/>
              <w:bottom w:val="nil"/>
              <w:right w:val="nil"/>
            </w:tcBorders>
          </w:tcPr>
          <w:p>
            <w:pPr>
              <w:rPr>
                <w:rFonts w:ascii="宋体" w:hAnsi="宋体"/>
                <w:bCs/>
                <w:sz w:val="18"/>
                <w:szCs w:val="18"/>
              </w:rPr>
            </w:pPr>
          </w:p>
        </w:tc>
        <w:tc>
          <w:tcPr>
            <w:tcW w:w="1458" w:type="dxa"/>
            <w:tcBorders>
              <w:top w:val="single" w:color="auto" w:sz="8" w:space="0"/>
              <w:left w:val="nil"/>
              <w:bottom w:val="nil"/>
              <w:right w:val="nil"/>
            </w:tcBorders>
          </w:tcPr>
          <w:p>
            <w:pPr>
              <w:rPr>
                <w:rFonts w:ascii="宋体" w:hAnsi="宋体"/>
                <w:bCs/>
                <w:sz w:val="18"/>
                <w:szCs w:val="18"/>
              </w:rPr>
            </w:pPr>
          </w:p>
        </w:tc>
        <w:tc>
          <w:tcPr>
            <w:tcW w:w="1530" w:type="dxa"/>
            <w:tcBorders>
              <w:top w:val="single" w:color="auto" w:sz="8" w:space="0"/>
              <w:left w:val="nil"/>
              <w:bottom w:val="nil"/>
              <w:right w:val="nil"/>
            </w:tcBorders>
          </w:tcPr>
          <w:p>
            <w:pPr>
              <w:rPr>
                <w:rFonts w:ascii="宋体" w:hAnsi="宋体"/>
                <w:bCs/>
                <w:sz w:val="18"/>
                <w:szCs w:val="18"/>
              </w:rPr>
            </w:pPr>
          </w:p>
        </w:tc>
        <w:tc>
          <w:tcPr>
            <w:tcW w:w="1134" w:type="dxa"/>
            <w:tcBorders>
              <w:top w:val="single" w:color="auto" w:sz="8" w:space="0"/>
              <w:left w:val="nil"/>
              <w:bottom w:val="nil"/>
              <w:right w:val="nil"/>
            </w:tcBorders>
          </w:tcPr>
          <w:p>
            <w:pPr>
              <w:rPr>
                <w:rFonts w:ascii="宋体" w:hAnsi="宋体"/>
                <w:bCs/>
                <w:sz w:val="18"/>
                <w:szCs w:val="18"/>
              </w:rPr>
            </w:pPr>
          </w:p>
        </w:tc>
        <w:tc>
          <w:tcPr>
            <w:tcW w:w="1146" w:type="dxa"/>
            <w:tcBorders>
              <w:top w:val="single" w:color="auto" w:sz="8" w:space="0"/>
              <w:left w:val="nil"/>
              <w:bottom w:val="nil"/>
              <w:right w:val="nil"/>
            </w:tcBorders>
          </w:tcPr>
          <w:p>
            <w:pPr>
              <w:rPr>
                <w:rFonts w:ascii="宋体" w:hAnsi="宋体"/>
                <w:bCs/>
                <w:sz w:val="18"/>
                <w:szCs w:val="18"/>
              </w:rPr>
            </w:pPr>
          </w:p>
        </w:tc>
        <w:tc>
          <w:tcPr>
            <w:tcW w:w="134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single" w:color="auto" w:sz="8" w:space="0"/>
              <w:right w:val="nil"/>
            </w:tcBorders>
          </w:tcPr>
          <w:p>
            <w:pPr>
              <w:rPr>
                <w:rFonts w:ascii="宋体" w:hAnsi="宋体"/>
                <w:bCs/>
                <w:sz w:val="18"/>
                <w:szCs w:val="18"/>
              </w:rPr>
            </w:pPr>
          </w:p>
        </w:tc>
        <w:tc>
          <w:tcPr>
            <w:tcW w:w="1418" w:type="dxa"/>
            <w:tcBorders>
              <w:top w:val="nil"/>
              <w:left w:val="nil"/>
              <w:bottom w:val="single" w:color="auto" w:sz="8" w:space="0"/>
              <w:right w:val="nil"/>
            </w:tcBorders>
          </w:tcPr>
          <w:p>
            <w:pPr>
              <w:rPr>
                <w:rFonts w:ascii="宋体" w:hAnsi="宋体"/>
                <w:bCs/>
                <w:sz w:val="18"/>
                <w:szCs w:val="18"/>
              </w:rPr>
            </w:pPr>
          </w:p>
        </w:tc>
        <w:tc>
          <w:tcPr>
            <w:tcW w:w="1458" w:type="dxa"/>
            <w:tcBorders>
              <w:top w:val="nil"/>
              <w:left w:val="nil"/>
              <w:bottom w:val="single" w:color="auto" w:sz="8" w:space="0"/>
              <w:right w:val="nil"/>
            </w:tcBorders>
          </w:tcPr>
          <w:p>
            <w:pPr>
              <w:rPr>
                <w:rFonts w:ascii="宋体" w:hAnsi="宋体"/>
                <w:bCs/>
                <w:sz w:val="18"/>
                <w:szCs w:val="18"/>
              </w:rPr>
            </w:pPr>
          </w:p>
        </w:tc>
        <w:tc>
          <w:tcPr>
            <w:tcW w:w="1530" w:type="dxa"/>
            <w:tcBorders>
              <w:top w:val="nil"/>
              <w:left w:val="nil"/>
              <w:bottom w:val="single" w:color="auto" w:sz="8" w:space="0"/>
              <w:right w:val="nil"/>
            </w:tcBorders>
          </w:tcPr>
          <w:p>
            <w:pPr>
              <w:rPr>
                <w:rFonts w:ascii="宋体" w:hAnsi="宋体"/>
                <w:bCs/>
                <w:sz w:val="18"/>
                <w:szCs w:val="18"/>
              </w:rPr>
            </w:pPr>
          </w:p>
        </w:tc>
        <w:tc>
          <w:tcPr>
            <w:tcW w:w="1134" w:type="dxa"/>
            <w:tcBorders>
              <w:top w:val="nil"/>
              <w:left w:val="nil"/>
              <w:bottom w:val="single" w:color="auto" w:sz="8" w:space="0"/>
              <w:right w:val="nil"/>
            </w:tcBorders>
          </w:tcPr>
          <w:p>
            <w:pPr>
              <w:rPr>
                <w:rFonts w:ascii="宋体" w:hAnsi="宋体"/>
                <w:bCs/>
                <w:sz w:val="18"/>
                <w:szCs w:val="18"/>
              </w:rPr>
            </w:pPr>
          </w:p>
        </w:tc>
        <w:tc>
          <w:tcPr>
            <w:tcW w:w="1146" w:type="dxa"/>
            <w:tcBorders>
              <w:top w:val="nil"/>
              <w:left w:val="nil"/>
              <w:bottom w:val="single" w:color="auto" w:sz="8" w:space="0"/>
              <w:right w:val="nil"/>
            </w:tcBorders>
          </w:tcPr>
          <w:p>
            <w:pPr>
              <w:rPr>
                <w:rFonts w:ascii="宋体" w:hAnsi="宋体"/>
                <w:bCs/>
                <w:sz w:val="18"/>
                <w:szCs w:val="18"/>
              </w:rPr>
            </w:pPr>
          </w:p>
        </w:tc>
        <w:tc>
          <w:tcPr>
            <w:tcW w:w="134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1、</w:t>
      </w:r>
      <w:r>
        <w:rPr>
          <w:rFonts w:hint="eastAsia" w:asciiTheme="minorEastAsia" w:hAnsiTheme="minorEastAsia" w:eastAsiaTheme="minorEastAsia" w:cstheme="minorEastAsia"/>
          <w:b/>
          <w:bCs/>
          <w:kern w:val="0"/>
          <w:sz w:val="21"/>
          <w:szCs w:val="21"/>
        </w:rPr>
        <w:t xml:space="preserve"> </w:t>
      </w:r>
      <w:r>
        <w:rPr>
          <w:rFonts w:hint="eastAsia" w:asciiTheme="minorEastAsia" w:hAnsiTheme="minorEastAsia" w:eastAsiaTheme="minorEastAsia" w:cstheme="minorEastAsia"/>
          <w:b/>
          <w:kern w:val="0"/>
          <w:sz w:val="21"/>
          <w:szCs w:val="21"/>
        </w:rPr>
        <w:t xml:space="preserve">对外劳务合作的统计界定 </w:t>
      </w:r>
      <w:r>
        <w:rPr>
          <w:rFonts w:hint="eastAsia" w:asciiTheme="minorEastAsia" w:hAnsiTheme="minorEastAsia" w:eastAsiaTheme="minorEastAsia" w:cstheme="minorEastAsia"/>
          <w:kern w:val="0"/>
          <w:sz w:val="21"/>
          <w:szCs w:val="21"/>
        </w:rPr>
        <w:t>：对外劳务合作</w:t>
      </w:r>
      <w:r>
        <w:rPr>
          <w:rFonts w:hint="eastAsia" w:asciiTheme="minorEastAsia" w:hAnsiTheme="minorEastAsia" w:eastAsiaTheme="minorEastAsia" w:cstheme="minorEastAsia"/>
          <w:bCs/>
          <w:kern w:val="0"/>
          <w:sz w:val="21"/>
          <w:szCs w:val="21"/>
        </w:rPr>
        <w:t>指组织劳务人员赴其他国家或地区为国外的企业或机构工作的经营性活动。 对外劳务合作人员行业一级分类执行国民经济经济行业分类</w:t>
      </w:r>
      <w:r>
        <w:rPr>
          <w:rFonts w:hint="eastAsia" w:asciiTheme="minorEastAsia" w:hAnsiTheme="minorEastAsia" w:eastAsiaTheme="minorEastAsia" w:cstheme="minorEastAsia"/>
          <w:bCs/>
          <w:kern w:val="0"/>
          <w:sz w:val="21"/>
          <w:szCs w:val="21"/>
          <w:lang w:eastAsia="zh-CN"/>
        </w:rPr>
        <w:t>和代码</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color w:val="000000"/>
          <w:sz w:val="21"/>
          <w:szCs w:val="21"/>
        </w:rPr>
        <w:t>GB/T 4754-201</w:t>
      </w:r>
      <w:r>
        <w:rPr>
          <w:rFonts w:hint="eastAsia" w:asciiTheme="minorEastAsia" w:hAnsiTheme="minorEastAsia" w:eastAsiaTheme="minorEastAsia" w:cstheme="minorEastAsia"/>
          <w:bCs/>
          <w:color w:val="000000"/>
          <w:sz w:val="21"/>
          <w:szCs w:val="21"/>
          <w:lang w:val="en-US" w:eastAsia="zh-CN"/>
        </w:rPr>
        <w:t>7</w:t>
      </w:r>
      <w:r>
        <w:rPr>
          <w:rFonts w:hint="eastAsia" w:asciiTheme="minorEastAsia" w:hAnsiTheme="minorEastAsia" w:eastAsiaTheme="minorEastAsia" w:cstheme="minorEastAsia"/>
          <w:bCs/>
          <w:color w:val="000000"/>
          <w:sz w:val="21"/>
          <w:szCs w:val="21"/>
        </w:rPr>
        <w:t>)，二级细类根据业务情况划分。</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17" w:firstLineChars="198"/>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2、统一社会信用代码：</w:t>
      </w:r>
      <w:r>
        <w:rPr>
          <w:rFonts w:hint="eastAsia" w:asciiTheme="minorEastAsia" w:hAnsiTheme="minorEastAsia" w:eastAsiaTheme="minorEastAsia" w:cstheme="minorEastAsia"/>
          <w:bCs/>
          <w:kern w:val="0"/>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3、外方签约单位</w:t>
      </w:r>
      <w:r>
        <w:rPr>
          <w:rFonts w:hint="eastAsia" w:asciiTheme="minorEastAsia" w:hAnsiTheme="minorEastAsia" w:eastAsiaTheme="minorEastAsia" w:cstheme="minorEastAsia"/>
          <w:bCs/>
          <w:kern w:val="0"/>
          <w:sz w:val="21"/>
          <w:szCs w:val="21"/>
        </w:rPr>
        <w:t>：指与企业签订对外劳务合作合同的国（境）外企业名称，外方签约单位若是中资企业，需在统计系统中明确中资企业的境内投资者名称。</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4、雇主名称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指劳务人员工作的最终雇主。</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5、签约日期</w:t>
      </w:r>
      <w:r>
        <w:rPr>
          <w:rFonts w:hint="eastAsia" w:asciiTheme="minorEastAsia" w:hAnsiTheme="minorEastAsia" w:eastAsiaTheme="minorEastAsia" w:cstheme="minorEastAsia"/>
          <w:bCs/>
          <w:kern w:val="0"/>
          <w:sz w:val="21"/>
          <w:szCs w:val="21"/>
        </w:rPr>
        <w:t>：指企业与国（境）外雇主签订合同的日期。</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6、派出人数</w:t>
      </w:r>
      <w:r>
        <w:rPr>
          <w:rFonts w:hint="eastAsia" w:asciiTheme="minorEastAsia" w:hAnsiTheme="minorEastAsia" w:eastAsiaTheme="minorEastAsia" w:cstheme="minorEastAsia"/>
          <w:bCs/>
          <w:kern w:val="0"/>
          <w:sz w:val="21"/>
          <w:szCs w:val="21"/>
        </w:rPr>
        <w:t xml:space="preserve">：指企业在报告期内派往国（境）外执行对外劳务合作项目的人数。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7、月末在外人数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 xml:space="preserve">指报告期末企业在国（境）外执行对外劳务合作项目的人数。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8、新签对外劳务人员合同工资总额</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指企业与外方签约单位或雇主订立书面合同文本中所规定的对外劳务人员工资总额。</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1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派往日本的研修生，其新签</w:t>
      </w:r>
      <w:r>
        <w:rPr>
          <w:rFonts w:hint="eastAsia" w:asciiTheme="minorEastAsia" w:hAnsiTheme="minorEastAsia" w:eastAsiaTheme="minorEastAsia" w:cstheme="minorEastAsia"/>
          <w:kern w:val="0"/>
          <w:sz w:val="21"/>
          <w:szCs w:val="21"/>
        </w:rPr>
        <w:t>合同工资总额</w:t>
      </w:r>
      <w:r>
        <w:rPr>
          <w:rFonts w:hint="eastAsia" w:asciiTheme="minorEastAsia" w:hAnsiTheme="minorEastAsia" w:eastAsiaTheme="minorEastAsia" w:cstheme="minorEastAsia"/>
          <w:sz w:val="21"/>
          <w:szCs w:val="21"/>
        </w:rPr>
        <w:t>按日本国劳动基准法规定的本国人均月生活水准金额乘以合同月数乘以人数计算。</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以美元作为计算单位。以非美元计价的，若合同规定了对美元折算率，其</w:t>
      </w: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 xml:space="preserve">按合同规定的折算率折合美元计算统计；若合同未规定对美元折算率，须按所签合同生效当日所在国家（地区）官方规定的合同计价货币对美元折算率的中间价折合美元计算统计。 </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发生变更，应根据业务部门的变更通知，在本年度下一报告期调整，并加以说明。以往年度的合同发生变更，在本年度和历史统计资料中均不予调整。</w:t>
      </w:r>
    </w:p>
    <w:p>
      <w:pPr>
        <w:keepNext w:val="0"/>
        <w:keepLines w:val="0"/>
        <w:pageBreakBefore w:val="0"/>
        <w:kinsoku/>
        <w:wordWrap/>
        <w:overflowPunct/>
        <w:topLinePunct w:val="0"/>
        <w:autoSpaceDE/>
        <w:autoSpaceDN/>
        <w:bidi w:val="0"/>
        <w:spacing w:before="100" w:beforeAutospacing="0" w:after="100" w:afterAutospacing="0" w:line="400" w:lineRule="exact"/>
        <w:ind w:firstLine="422" w:firstLineChars="200"/>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sz w:val="21"/>
          <w:szCs w:val="21"/>
        </w:rPr>
        <w:t>9、对外</w:t>
      </w:r>
      <w:r>
        <w:rPr>
          <w:rFonts w:hint="eastAsia" w:asciiTheme="minorEastAsia" w:hAnsiTheme="minorEastAsia" w:eastAsiaTheme="minorEastAsia" w:cstheme="minorEastAsia"/>
          <w:b/>
          <w:bCs/>
          <w:sz w:val="21"/>
          <w:szCs w:val="21"/>
        </w:rPr>
        <w:t>劳务人员实际收入总额：</w:t>
      </w:r>
      <w:r>
        <w:rPr>
          <w:rFonts w:hint="eastAsia" w:asciiTheme="minorEastAsia" w:hAnsiTheme="minorEastAsia" w:eastAsiaTheme="minorEastAsia" w:cstheme="minorEastAsia"/>
          <w:bCs/>
          <w:sz w:val="21"/>
          <w:szCs w:val="21"/>
        </w:rPr>
        <w:t>指（1）报告期</w:t>
      </w:r>
      <w:r>
        <w:rPr>
          <w:rFonts w:hint="eastAsia" w:asciiTheme="minorEastAsia" w:hAnsiTheme="minorEastAsia" w:eastAsiaTheme="minorEastAsia" w:cstheme="minorEastAsia"/>
          <w:bCs/>
          <w:kern w:val="0"/>
          <w:sz w:val="21"/>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keepNext w:val="0"/>
        <w:keepLines w:val="0"/>
        <w:pageBreakBefore w:val="0"/>
        <w:kinsoku/>
        <w:wordWrap/>
        <w:overflowPunct/>
        <w:topLinePunct w:val="0"/>
        <w:autoSpaceDE/>
        <w:autoSpaceDN/>
        <w:bidi w:val="0"/>
        <w:spacing w:beforeAutospacing="0" w:afterAutospacing="0" w:line="400" w:lineRule="exact"/>
        <w:ind w:firstLine="422" w:firstLineChars="20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kern w:val="0"/>
          <w:sz w:val="21"/>
          <w:szCs w:val="21"/>
        </w:rPr>
        <w:t>10、</w:t>
      </w:r>
      <w:r>
        <w:rPr>
          <w:rFonts w:hint="eastAsia" w:asciiTheme="minorEastAsia" w:hAnsiTheme="minorEastAsia" w:eastAsiaTheme="minorEastAsia" w:cstheme="minorEastAsia"/>
          <w:b/>
          <w:bCs/>
          <w:sz w:val="21"/>
          <w:szCs w:val="21"/>
        </w:rPr>
        <w:t>劳务人员实际月平均工资</w:t>
      </w:r>
      <w:r>
        <w:rPr>
          <w:rFonts w:hint="eastAsia" w:asciiTheme="minorEastAsia" w:hAnsiTheme="minorEastAsia" w:eastAsiaTheme="minorEastAsia" w:cstheme="minorEastAsia"/>
          <w:bCs/>
          <w:sz w:val="21"/>
          <w:szCs w:val="21"/>
        </w:rPr>
        <w:t>：指报告月度劳务人员平均每人所得的货币工资额。月平均工资等于报告月度雇主实际支付的全部劳务人员工资总额除以报告月份劳务人员平均人数。</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11、企业性质：</w:t>
      </w:r>
      <w:r>
        <w:rPr>
          <w:rFonts w:hint="eastAsia" w:asciiTheme="minorEastAsia" w:hAnsiTheme="minorEastAsia" w:eastAsiaTheme="minorEastAsia" w:cstheme="minorEastAsia"/>
          <w:kern w:val="0"/>
          <w:sz w:val="21"/>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w:t>
      </w:r>
      <w:r>
        <w:rPr>
          <w:rFonts w:hint="eastAsia" w:ascii="黑体" w:eastAsia="黑体"/>
          <w:sz w:val="32"/>
          <w:szCs w:val="32"/>
          <w:lang w:val="en-US" w:eastAsia="zh-CN"/>
        </w:rPr>
        <w:t xml:space="preserve"> </w:t>
      </w:r>
      <w:r>
        <w:rPr>
          <w:rFonts w:hint="eastAsia" w:ascii="黑体" w:eastAsia="黑体"/>
          <w:sz w:val="32"/>
          <w:szCs w:val="32"/>
        </w:rPr>
        <w:t>录</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400" w:lineRule="exact"/>
        <w:ind w:firstLine="452" w:firstLineChars="200"/>
        <w:jc w:val="center"/>
        <w:textAlignment w:val="auto"/>
        <w:outlineLvl w:val="9"/>
        <w:rPr>
          <w:rFonts w:hint="eastAsia"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w:t>
      </w:r>
      <w:r>
        <w:rPr>
          <w:rFonts w:hint="eastAsia" w:ascii="宋体" w:hAnsi="宋体" w:cs="宋体"/>
          <w:b/>
          <w:color w:val="000000"/>
          <w:spacing w:val="8"/>
          <w:kern w:val="0"/>
          <w:sz w:val="32"/>
          <w:szCs w:val="32"/>
          <w:lang w:eastAsia="zh-CN"/>
        </w:rPr>
        <w:t>三</w:t>
      </w: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tabs>
          <w:tab w:val="left" w:pos="142"/>
        </w:tabs>
        <w:spacing w:line="480" w:lineRule="auto"/>
        <w:ind w:firstLine="645"/>
        <w:jc w:val="right"/>
        <w:rPr>
          <w:rFonts w:ascii="仿宋_GB2312" w:eastAsia="仿宋_GB2312"/>
          <w:sz w:val="32"/>
          <w:szCs w:val="32"/>
        </w:rPr>
      </w:pPr>
    </w:p>
    <w:sectPr>
      <w:footerReference r:id="rId3" w:type="default"/>
      <w:footerReference r:id="rId4" w:type="even"/>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right;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D29"/>
    <w:multiLevelType w:val="multilevel"/>
    <w:tmpl w:val="204A7D29"/>
    <w:lvl w:ilvl="0" w:tentative="0">
      <w:start w:val="8"/>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45AD1EE5"/>
    <w:multiLevelType w:val="singleLevel"/>
    <w:tmpl w:val="45AD1E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0F21AA1"/>
    <w:rsid w:val="1A1665ED"/>
    <w:rsid w:val="1EE409EF"/>
    <w:rsid w:val="20796333"/>
    <w:rsid w:val="242A13C6"/>
    <w:rsid w:val="24AE434B"/>
    <w:rsid w:val="304227AC"/>
    <w:rsid w:val="31C93EEB"/>
    <w:rsid w:val="36505C2E"/>
    <w:rsid w:val="3CC856FF"/>
    <w:rsid w:val="3F20088E"/>
    <w:rsid w:val="40E31917"/>
    <w:rsid w:val="425B08EF"/>
    <w:rsid w:val="5C734F14"/>
    <w:rsid w:val="5EBB69D9"/>
    <w:rsid w:val="618E5DF4"/>
    <w:rsid w:val="69013707"/>
    <w:rsid w:val="6AB86F98"/>
    <w:rsid w:val="6FA27FBA"/>
    <w:rsid w:val="708C7873"/>
    <w:rsid w:val="714549D4"/>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annotation text"/>
    <w:basedOn w:val="1"/>
    <w:qFormat/>
    <w:uiPriority w:val="0"/>
    <w:pPr>
      <w:jc w:val="left"/>
    </w:pPr>
    <w:rPr>
      <w:rFonts w:ascii="Times New Roman" w:hAnsi="Times New Roman" w:eastAsia="宋体" w:cs="Times New Roman"/>
      <w:szCs w:val="24"/>
    </w:rPr>
  </w:style>
  <w:style w:type="paragraph" w:styleId="4">
    <w:name w:val="Body Text Indent"/>
    <w:basedOn w:val="1"/>
    <w:qFormat/>
    <w:uiPriority w:val="0"/>
    <w:pPr>
      <w:spacing w:after="120"/>
      <w:ind w:left="420" w:leftChars="200"/>
    </w:pPr>
    <w:rPr>
      <w:szCs w:val="20"/>
      <w:lang w:val="zh-CN" w:eastAsia="zh-CN"/>
    </w:rPr>
  </w:style>
  <w:style w:type="paragraph" w:styleId="5">
    <w:name w:val="Plain Text"/>
    <w:basedOn w:val="1"/>
    <w:qFormat/>
    <w:uiPriority w:val="0"/>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Emphasis"/>
    <w:qFormat/>
    <w:uiPriority w:val="20"/>
    <w:rPr>
      <w:color w:val="CC0000"/>
      <w:sz w:val="24"/>
      <w:szCs w:val="24"/>
    </w:rPr>
  </w:style>
  <w:style w:type="character" w:styleId="12">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9"/>
    <w:link w:val="8"/>
    <w:qFormat/>
    <w:uiPriority w:val="99"/>
    <w:rPr>
      <w:sz w:val="18"/>
      <w:szCs w:val="18"/>
    </w:rPr>
  </w:style>
  <w:style w:type="character" w:customStyle="1" w:styleId="16">
    <w:name w:val="页脚 Char"/>
    <w:basedOn w:val="9"/>
    <w:link w:val="7"/>
    <w:qFormat/>
    <w:uiPriority w:val="99"/>
    <w:rPr>
      <w:sz w:val="18"/>
      <w:szCs w:val="18"/>
    </w:rPr>
  </w:style>
  <w:style w:type="character" w:customStyle="1" w:styleId="17">
    <w:name w:val="批注框文本 Char"/>
    <w:basedOn w:val="9"/>
    <w:link w:val="6"/>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9</TotalTime>
  <ScaleCrop>false</ScaleCrop>
  <LinksUpToDate>false</LinksUpToDate>
  <CharactersWithSpaces>48481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Tony</cp:lastModifiedBy>
  <cp:lastPrinted>2019-01-07T02:13:00Z</cp:lastPrinted>
  <dcterms:modified xsi:type="dcterms:W3CDTF">2019-01-22T05:38:12Z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