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line="480" w:lineRule="auto"/>
        <w:ind w:firstLine="645"/>
        <w:jc w:val="right"/>
        <w:rPr>
          <w:rFonts w:ascii="仿宋_GB2312" w:eastAsia="仿宋_GB2312"/>
          <w:sz w:val="32"/>
          <w:szCs w:val="32"/>
        </w:rPr>
      </w:pPr>
      <w:bookmarkStart w:id="3" w:name="_GoBack"/>
      <w:bookmarkEnd w:id="3"/>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r>
        <w:rPr>
          <w:rFonts w:hint="eastAsia" w:ascii="宋体" w:hAnsi="宋体"/>
          <w:b/>
          <w:sz w:val="52"/>
        </w:rPr>
        <w:t>《对外直接投资统计制度》</w:t>
      </w:r>
    </w:p>
    <w:p>
      <w:pPr>
        <w:ind w:firstLine="420"/>
        <w:jc w:val="center"/>
        <w:rPr>
          <w:rFonts w:ascii="仿宋_GB2312" w:eastAsia="仿宋_GB2312"/>
          <w:b/>
          <w:sz w:val="36"/>
          <w:szCs w:val="36"/>
        </w:rPr>
      </w:pPr>
    </w:p>
    <w:p>
      <w:pPr>
        <w:ind w:firstLine="420"/>
        <w:jc w:val="center"/>
        <w:rPr>
          <w:rFonts w:ascii="仿宋_GB2312" w:eastAsia="仿宋_GB2312"/>
          <w:b/>
          <w:sz w:val="36"/>
          <w:szCs w:val="36"/>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spacing w:line="600" w:lineRule="exact"/>
        <w:jc w:val="center"/>
        <w:rPr>
          <w:rFonts w:ascii="宋体"/>
          <w:sz w:val="32"/>
          <w:szCs w:val="32"/>
        </w:rPr>
      </w:pPr>
      <w:r>
        <w:rPr>
          <w:rFonts w:hint="eastAsia" w:ascii="宋体"/>
          <w:sz w:val="32"/>
          <w:szCs w:val="32"/>
        </w:rPr>
        <w:t>商       务       部</w:t>
      </w:r>
    </w:p>
    <w:p>
      <w:pPr>
        <w:spacing w:line="600" w:lineRule="exact"/>
        <w:jc w:val="center"/>
        <w:rPr>
          <w:rFonts w:ascii="宋体"/>
          <w:sz w:val="32"/>
          <w:szCs w:val="32"/>
        </w:rPr>
      </w:pPr>
      <w:r>
        <w:rPr>
          <w:rFonts w:hint="eastAsia" w:ascii="宋体"/>
          <w:sz w:val="32"/>
          <w:szCs w:val="32"/>
        </w:rPr>
        <w:t>国   家  统  计   局</w:t>
      </w:r>
    </w:p>
    <w:p>
      <w:pPr>
        <w:spacing w:line="600" w:lineRule="exact"/>
        <w:jc w:val="center"/>
        <w:rPr>
          <w:rFonts w:ascii="宋体"/>
          <w:sz w:val="32"/>
          <w:szCs w:val="32"/>
        </w:rPr>
      </w:pPr>
      <w:r>
        <w:rPr>
          <w:rFonts w:hint="eastAsia" w:ascii="宋体"/>
          <w:sz w:val="32"/>
          <w:szCs w:val="32"/>
        </w:rPr>
        <w:t>国 家 外 汇 管 理 局</w:t>
      </w:r>
    </w:p>
    <w:p>
      <w:pPr>
        <w:spacing w:line="600" w:lineRule="exact"/>
        <w:ind w:firstLine="2560" w:firstLineChars="800"/>
        <w:rPr>
          <w:rFonts w:ascii="宋体"/>
          <w:sz w:val="32"/>
          <w:szCs w:val="32"/>
        </w:rPr>
      </w:pPr>
    </w:p>
    <w:p>
      <w:pPr>
        <w:spacing w:line="600" w:lineRule="exact"/>
        <w:ind w:right="160"/>
        <w:jc w:val="center"/>
        <w:rPr>
          <w:rFonts w:ascii="仿宋_GB2312" w:eastAsia="仿宋_GB2312"/>
          <w:sz w:val="32"/>
          <w:szCs w:val="32"/>
        </w:rPr>
      </w:pPr>
      <w:r>
        <w:rPr>
          <w:rFonts w:hint="eastAsia" w:ascii="宋体" w:hAnsi="宋体"/>
          <w:sz w:val="32"/>
          <w:szCs w:val="32"/>
        </w:rPr>
        <w:t>2019年 1 月</w:t>
      </w:r>
    </w:p>
    <w:p>
      <w:pPr>
        <w:jc w:val="center"/>
        <w:rPr>
          <w:rFonts w:ascii="仿宋_GB2312" w:eastAsia="仿宋_GB2312"/>
          <w:sz w:val="30"/>
        </w:rPr>
      </w:pPr>
      <w:r>
        <w:rPr>
          <w:rFonts w:ascii="仿宋_GB2312" w:eastAsia="仿宋_GB2312"/>
          <w:sz w:val="30"/>
        </w:rPr>
        <w:br w:type="page"/>
      </w: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b/>
          <w:bCs/>
          <w:kern w:val="0"/>
          <w:sz w:val="32"/>
          <w:szCs w:val="32"/>
        </w:rPr>
      </w:pPr>
      <w:r>
        <w:rPr>
          <w:rFonts w:hint="eastAsia" w:ascii="宋体" w:hAnsi="宋体" w:cs="宋体"/>
          <w:b/>
          <w:bCs/>
          <w:kern w:val="0"/>
          <w:sz w:val="32"/>
          <w:szCs w:val="32"/>
        </w:rPr>
        <w:t>本报表制度根据《中华人民共和国统计法》有关规定制定</w:t>
      </w:r>
    </w:p>
    <w:p>
      <w:pPr>
        <w:widowControl/>
        <w:spacing w:before="100" w:beforeAutospacing="1" w:after="100" w:afterAutospacing="1" w:line="384" w:lineRule="auto"/>
        <w:ind w:firstLine="560" w:firstLineChars="200"/>
        <w:rPr>
          <w:rFonts w:ascii="宋体" w:hAnsi="宋体" w:cs="宋体"/>
          <w:kern w:val="0"/>
          <w:sz w:val="28"/>
          <w:szCs w:val="28"/>
        </w:rPr>
      </w:pP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《中华人民共和国统计法》第九条规定：统计机构和统计人员对在统计工作中知悉的国家秘密、商业秘密和个人信息，应当予以保密。</w:t>
      </w:r>
    </w:p>
    <w:p>
      <w:pPr>
        <w:widowControl/>
        <w:wordWrap w:val="0"/>
        <w:spacing w:before="150" w:line="6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《中华人民共和国统计法》第二十五条规定：统计调查中获得的能够识别或者推断单个统计调查对象身份的资料，任何单位和个人不得对外提供、泄露，不得用于统计以外的目的。</w:t>
      </w:r>
    </w:p>
    <w:p>
      <w:pPr>
        <w:widowControl/>
        <w:spacing w:before="100" w:after="100" w:line="600" w:lineRule="exact"/>
        <w:ind w:firstLine="420" w:firstLineChars="150"/>
        <w:rPr>
          <w:rFonts w:ascii="仿宋_GB2312" w:hAnsi="宋体" w:eastAsia="仿宋_GB2312" w:cs="宋体"/>
          <w:bCs/>
          <w:kern w:val="0"/>
          <w:sz w:val="28"/>
          <w:szCs w:val="28"/>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黑体" w:hAnsi="黑体" w:eastAsia="黑体" w:cs="黑体"/>
          <w:sz w:val="32"/>
          <w:szCs w:val="32"/>
        </w:rPr>
      </w:pPr>
      <w:r>
        <w:rPr>
          <w:rFonts w:hint="eastAsia" w:ascii="黑体" w:hAnsi="黑体" w:eastAsia="黑体" w:cs="黑体"/>
          <w:sz w:val="32"/>
          <w:szCs w:val="32"/>
        </w:rPr>
        <w:t>目    录</w:t>
      </w:r>
    </w:p>
    <w:p>
      <w:pPr>
        <w:tabs>
          <w:tab w:val="right" w:leader="dot" w:pos="9460"/>
          <w:tab w:val="right" w:leader="middleDot" w:pos="10500"/>
        </w:tabs>
        <w:spacing w:line="360" w:lineRule="exact"/>
        <w:rPr>
          <w:rFonts w:ascii="宋体" w:hAnsi="宋体"/>
          <w:szCs w:val="21"/>
        </w:rPr>
      </w:pPr>
      <w:r>
        <w:rPr>
          <w:rFonts w:hint="eastAsia" w:ascii="宋体" w:hAnsi="宋体"/>
          <w:szCs w:val="21"/>
        </w:rPr>
        <w:t>一、总说明</w:t>
      </w:r>
      <w:r>
        <w:rPr>
          <w:rFonts w:hint="eastAsia" w:ascii="宋体" w:hAnsi="宋体"/>
          <w:szCs w:val="21"/>
        </w:rPr>
        <w:tab/>
      </w:r>
      <w:r>
        <w:rPr>
          <w:rFonts w:hint="eastAsia" w:ascii="宋体" w:hAnsi="宋体"/>
          <w:szCs w:val="21"/>
        </w:rPr>
        <w:t>8</w:t>
      </w:r>
    </w:p>
    <w:p>
      <w:pPr>
        <w:tabs>
          <w:tab w:val="right" w:leader="dot" w:pos="9460"/>
          <w:tab w:val="right" w:leader="middleDot" w:pos="10500"/>
        </w:tabs>
        <w:spacing w:line="360" w:lineRule="exact"/>
        <w:rPr>
          <w:rFonts w:ascii="宋体" w:hAnsi="宋体"/>
          <w:szCs w:val="21"/>
        </w:rPr>
      </w:pPr>
      <w:r>
        <w:rPr>
          <w:rFonts w:hint="eastAsia" w:ascii="宋体" w:hAnsi="宋体"/>
          <w:szCs w:val="21"/>
        </w:rPr>
        <w:t>二、报表目录</w:t>
      </w:r>
      <w:r>
        <w:rPr>
          <w:rFonts w:hint="eastAsia" w:ascii="宋体" w:hAnsi="宋体"/>
          <w:szCs w:val="21"/>
        </w:rPr>
        <w:tab/>
      </w:r>
      <w:r>
        <w:rPr>
          <w:rFonts w:hint="eastAsia" w:ascii="宋体" w:hAnsi="宋体"/>
          <w:szCs w:val="21"/>
        </w:rPr>
        <w:t>11</w:t>
      </w:r>
    </w:p>
    <w:p>
      <w:pPr>
        <w:spacing w:line="360" w:lineRule="exact"/>
        <w:rPr>
          <w:rFonts w:ascii="宋体" w:hAnsi="宋体"/>
          <w:szCs w:val="21"/>
        </w:rPr>
      </w:pPr>
      <w:r>
        <w:rPr>
          <w:rFonts w:hint="eastAsia" w:ascii="宋体" w:hAnsi="宋体"/>
          <w:szCs w:val="21"/>
        </w:rPr>
        <w:t>三、调查表式</w:t>
      </w:r>
    </w:p>
    <w:p>
      <w:pPr>
        <w:numPr>
          <w:ilvl w:val="0"/>
          <w:numId w:val="1"/>
        </w:numPr>
        <w:tabs>
          <w:tab w:val="left" w:pos="900"/>
          <w:tab w:val="clear" w:pos="1140"/>
        </w:tabs>
        <w:spacing w:line="360" w:lineRule="exact"/>
        <w:ind w:left="720" w:hanging="540"/>
        <w:rPr>
          <w:rFonts w:ascii="宋体" w:hAnsi="宋体"/>
          <w:szCs w:val="21"/>
        </w:rPr>
      </w:pPr>
      <w:r>
        <w:rPr>
          <w:rFonts w:hint="eastAsia" w:ascii="宋体" w:hAnsi="宋体"/>
          <w:szCs w:val="21"/>
        </w:rPr>
        <w:t>综合报表</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金融业境内投资者对外直接投资流量和存量（按国别地区分组FDI金融N1表）</w:t>
      </w:r>
      <w:r>
        <w:rPr>
          <w:rFonts w:hint="eastAsia" w:ascii="宋体" w:hAnsi="宋体"/>
          <w:szCs w:val="21"/>
        </w:rPr>
        <w:tab/>
      </w:r>
      <w:r>
        <w:rPr>
          <w:rFonts w:hint="eastAsia" w:ascii="宋体" w:hAnsi="宋体"/>
          <w:szCs w:val="21"/>
        </w:rPr>
        <w:t>13</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金融业境内投资者对外直接投资流量和存量（按国民经济行业分组FDI金融N2表）</w:t>
      </w:r>
      <w:r>
        <w:rPr>
          <w:rFonts w:hint="eastAsia" w:ascii="宋体" w:hAnsi="宋体"/>
          <w:szCs w:val="21"/>
        </w:rPr>
        <w:tab/>
      </w:r>
      <w:r>
        <w:rPr>
          <w:rFonts w:hint="eastAsia" w:ascii="宋体" w:hAnsi="宋体"/>
          <w:szCs w:val="21"/>
        </w:rPr>
        <w:t>14</w:t>
      </w:r>
    </w:p>
    <w:p>
      <w:pPr>
        <w:tabs>
          <w:tab w:val="right" w:leader="dot" w:pos="9460"/>
          <w:tab w:val="right" w:leader="middleDot" w:pos="10500"/>
        </w:tabs>
        <w:spacing w:line="360" w:lineRule="exact"/>
        <w:ind w:firstLine="386" w:firstLineChars="184"/>
        <w:rPr>
          <w:rFonts w:ascii="宋体" w:hAnsi="宋体"/>
          <w:szCs w:val="21"/>
        </w:rPr>
      </w:pPr>
      <w:r>
        <w:rPr>
          <w:rFonts w:hint="eastAsia" w:ascii="宋体" w:hAnsi="宋体"/>
          <w:szCs w:val="21"/>
        </w:rPr>
        <w:t>金融业境内投资者拥有的境外企业基本情况（FDI金融N3表）</w:t>
      </w:r>
      <w:r>
        <w:rPr>
          <w:rFonts w:hint="eastAsia" w:ascii="宋体" w:hAnsi="宋体"/>
          <w:szCs w:val="21"/>
        </w:rPr>
        <w:tab/>
      </w:r>
      <w:r>
        <w:rPr>
          <w:rFonts w:hint="eastAsia" w:ascii="宋体" w:hAnsi="宋体"/>
          <w:szCs w:val="21"/>
        </w:rPr>
        <w:t>15</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金融业对外直接投资情况（按国别地区分组FDI金融Y1表）</w:t>
      </w:r>
      <w:r>
        <w:rPr>
          <w:rFonts w:hint="eastAsia" w:ascii="宋体" w:hAnsi="宋体"/>
          <w:szCs w:val="21"/>
        </w:rPr>
        <w:tab/>
      </w:r>
      <w:r>
        <w:rPr>
          <w:rFonts w:hint="eastAsia" w:ascii="宋体" w:hAnsi="宋体"/>
          <w:szCs w:val="21"/>
        </w:rPr>
        <w:t>16</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金融业对外直接投资情况（按国民经济行业分组FDI金融Y2表）</w:t>
      </w:r>
      <w:r>
        <w:rPr>
          <w:rFonts w:hint="eastAsia" w:ascii="宋体" w:hAnsi="宋体"/>
          <w:szCs w:val="21"/>
        </w:rPr>
        <w:tab/>
      </w:r>
      <w:r>
        <w:rPr>
          <w:rFonts w:hint="eastAsia" w:ascii="宋体" w:hAnsi="宋体"/>
          <w:szCs w:val="21"/>
        </w:rPr>
        <w:t>17</w:t>
      </w:r>
    </w:p>
    <w:p>
      <w:pPr>
        <w:spacing w:line="360" w:lineRule="exact"/>
        <w:ind w:firstLine="105" w:firstLineChars="50"/>
        <w:rPr>
          <w:rFonts w:ascii="宋体" w:hAnsi="宋体"/>
          <w:szCs w:val="21"/>
        </w:rPr>
      </w:pPr>
      <w:r>
        <w:rPr>
          <w:rFonts w:hint="eastAsia" w:ascii="宋体" w:hAnsi="宋体"/>
          <w:szCs w:val="21"/>
        </w:rPr>
        <w:t>（二）基层报表</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境内投资者基本情况（FDIN1表）</w:t>
      </w:r>
      <w:r>
        <w:rPr>
          <w:rFonts w:hint="eastAsia" w:ascii="宋体" w:hAnsi="宋体"/>
          <w:szCs w:val="21"/>
        </w:rPr>
        <w:tab/>
      </w:r>
      <w:r>
        <w:rPr>
          <w:rFonts w:hint="eastAsia" w:ascii="宋体" w:hAnsi="宋体"/>
          <w:szCs w:val="21"/>
        </w:rPr>
        <w:t>18</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境外企业基本情况（FDIN2表）</w:t>
      </w:r>
      <w:r>
        <w:rPr>
          <w:rFonts w:hint="eastAsia" w:ascii="宋体" w:hAnsi="宋体"/>
          <w:szCs w:val="21"/>
        </w:rPr>
        <w:tab/>
      </w:r>
      <w:r>
        <w:rPr>
          <w:rFonts w:hint="eastAsia" w:ascii="宋体" w:hAnsi="宋体"/>
          <w:szCs w:val="21"/>
        </w:rPr>
        <w:t>19</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对外直接投资流量、存量情况（FDIN3表）</w:t>
      </w:r>
      <w:r>
        <w:rPr>
          <w:rFonts w:hint="eastAsia" w:ascii="宋体" w:hAnsi="宋体"/>
          <w:szCs w:val="21"/>
        </w:rPr>
        <w:tab/>
      </w:r>
      <w:r>
        <w:rPr>
          <w:rFonts w:hint="eastAsia" w:ascii="宋体" w:hAnsi="宋体"/>
          <w:szCs w:val="21"/>
        </w:rPr>
        <w:t>20</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成员企业间债务工具情况（FDIN4表）</w:t>
      </w:r>
      <w:r>
        <w:rPr>
          <w:rFonts w:hint="eastAsia" w:ascii="宋体" w:hAnsi="宋体"/>
          <w:szCs w:val="21"/>
        </w:rPr>
        <w:tab/>
      </w:r>
      <w:r>
        <w:rPr>
          <w:rFonts w:hint="eastAsia" w:ascii="宋体" w:hAnsi="宋体"/>
          <w:szCs w:val="21"/>
        </w:rPr>
        <w:t>21</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境外企业返程投资情况（FDIN5表）</w:t>
      </w:r>
      <w:r>
        <w:rPr>
          <w:rFonts w:hint="eastAsia" w:ascii="宋体" w:hAnsi="宋体"/>
          <w:szCs w:val="21"/>
        </w:rPr>
        <w:tab/>
      </w:r>
      <w:r>
        <w:rPr>
          <w:rFonts w:hint="eastAsia" w:ascii="宋体" w:hAnsi="宋体"/>
          <w:szCs w:val="21"/>
        </w:rPr>
        <w:t>22</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境内投资者通过境外企业再投资情况（FDIN6表）</w:t>
      </w:r>
      <w:r>
        <w:rPr>
          <w:rFonts w:hint="eastAsia" w:ascii="宋体" w:hAnsi="宋体"/>
          <w:szCs w:val="21"/>
        </w:rPr>
        <w:tab/>
      </w:r>
      <w:r>
        <w:rPr>
          <w:rFonts w:hint="eastAsia" w:ascii="宋体" w:hAnsi="宋体"/>
          <w:szCs w:val="21"/>
        </w:rPr>
        <w:t>23</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境外主要矿产资源情况（FDIN7表）</w:t>
      </w:r>
      <w:r>
        <w:rPr>
          <w:rFonts w:hint="eastAsia" w:ascii="宋体" w:hAnsi="宋体"/>
          <w:szCs w:val="21"/>
        </w:rPr>
        <w:tab/>
      </w:r>
      <w:r>
        <w:rPr>
          <w:rFonts w:hint="eastAsia" w:ascii="宋体" w:hAnsi="宋体"/>
          <w:szCs w:val="21"/>
        </w:rPr>
        <w:t>24</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主要国际产能合作领域情况（FDIN8表）</w:t>
      </w:r>
      <w:r>
        <w:rPr>
          <w:rFonts w:hint="eastAsia" w:ascii="宋体" w:hAnsi="宋体"/>
          <w:szCs w:val="21"/>
        </w:rPr>
        <w:tab/>
      </w:r>
      <w:r>
        <w:rPr>
          <w:rFonts w:hint="eastAsia" w:ascii="宋体" w:hAnsi="宋体"/>
          <w:szCs w:val="21"/>
        </w:rPr>
        <w:t>25</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 xml:space="preserve">对外直接投资月度情况(按出资方式分组FDIY1表) </w:t>
      </w:r>
      <w:r>
        <w:rPr>
          <w:rFonts w:hint="eastAsia" w:ascii="宋体" w:hAnsi="宋体"/>
          <w:szCs w:val="21"/>
        </w:rPr>
        <w:tab/>
      </w:r>
      <w:r>
        <w:rPr>
          <w:rFonts w:hint="eastAsia" w:ascii="宋体" w:hAnsi="宋体"/>
          <w:szCs w:val="21"/>
        </w:rPr>
        <w:t>27</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 xml:space="preserve">对外直接投资月度情况(按投资构成分组FDIY2表)   </w:t>
      </w:r>
      <w:r>
        <w:rPr>
          <w:rFonts w:hint="eastAsia" w:ascii="宋体" w:hAnsi="宋体"/>
          <w:szCs w:val="21"/>
        </w:rPr>
        <w:tab/>
      </w:r>
      <w:r>
        <w:rPr>
          <w:rFonts w:hint="eastAsia" w:ascii="宋体" w:hAnsi="宋体"/>
          <w:szCs w:val="21"/>
        </w:rPr>
        <w:t>28</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对外投资并购基本事项（FDIY3表）</w:t>
      </w:r>
      <w:r>
        <w:rPr>
          <w:rFonts w:hint="eastAsia" w:ascii="宋体" w:hAnsi="宋体"/>
          <w:szCs w:val="21"/>
        </w:rPr>
        <w:tab/>
      </w:r>
      <w:r>
        <w:rPr>
          <w:rFonts w:hint="eastAsia" w:ascii="宋体" w:hAnsi="宋体"/>
          <w:szCs w:val="21"/>
        </w:rPr>
        <w:t>29</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农业对外投资合作情况（FDIY4表）</w:t>
      </w:r>
      <w:r>
        <w:rPr>
          <w:rFonts w:hint="eastAsia" w:ascii="宋体" w:hAnsi="宋体"/>
          <w:szCs w:val="21"/>
        </w:rPr>
        <w:tab/>
      </w:r>
      <w:r>
        <w:rPr>
          <w:rFonts w:hint="eastAsia" w:ascii="宋体" w:hAnsi="宋体"/>
          <w:szCs w:val="21"/>
        </w:rPr>
        <w:t>30</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境外经济贸易合作区情况（FDIY5表）</w:t>
      </w:r>
      <w:r>
        <w:rPr>
          <w:rFonts w:hint="eastAsia" w:ascii="宋体" w:hAnsi="宋体"/>
          <w:szCs w:val="21"/>
        </w:rPr>
        <w:tab/>
      </w:r>
      <w:r>
        <w:rPr>
          <w:rFonts w:hint="eastAsia" w:ascii="宋体" w:hAnsi="宋体"/>
          <w:szCs w:val="21"/>
        </w:rPr>
        <w:t>31</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境外企业再投资月度情况（FDIY6表）</w:t>
      </w:r>
      <w:r>
        <w:rPr>
          <w:rFonts w:hint="eastAsia" w:ascii="宋体" w:hAnsi="宋体"/>
          <w:szCs w:val="21"/>
        </w:rPr>
        <w:tab/>
      </w:r>
      <w:r>
        <w:rPr>
          <w:rFonts w:hint="eastAsia" w:ascii="宋体" w:hAnsi="宋体"/>
          <w:szCs w:val="21"/>
        </w:rPr>
        <w:t>32</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对外投资带动进出口情况（FDIY7表）</w:t>
      </w:r>
      <w:r>
        <w:rPr>
          <w:rFonts w:hint="eastAsia" w:ascii="宋体" w:hAnsi="宋体"/>
          <w:szCs w:val="21"/>
        </w:rPr>
        <w:tab/>
      </w:r>
      <w:r>
        <w:rPr>
          <w:rFonts w:hint="eastAsia" w:ascii="宋体" w:hAnsi="宋体"/>
          <w:szCs w:val="21"/>
        </w:rPr>
        <w:t>33</w:t>
      </w:r>
    </w:p>
    <w:p>
      <w:pPr>
        <w:tabs>
          <w:tab w:val="right" w:leader="dot" w:pos="9460"/>
          <w:tab w:val="right" w:leader="middleDot" w:pos="10500"/>
        </w:tabs>
        <w:spacing w:line="360" w:lineRule="exact"/>
        <w:rPr>
          <w:rFonts w:ascii="宋体" w:hAnsi="宋体"/>
          <w:szCs w:val="21"/>
        </w:rPr>
      </w:pPr>
      <w:r>
        <w:rPr>
          <w:rFonts w:hint="eastAsia" w:ascii="宋体" w:hAnsi="宋体"/>
          <w:szCs w:val="21"/>
        </w:rPr>
        <w:t xml:space="preserve">四、主要指标解释及概念界定 </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（一）主要指标解释</w:t>
      </w:r>
      <w:r>
        <w:rPr>
          <w:rFonts w:hint="eastAsia" w:ascii="宋体" w:hAnsi="宋体"/>
          <w:szCs w:val="21"/>
        </w:rPr>
        <w:tab/>
      </w:r>
      <w:r>
        <w:rPr>
          <w:rFonts w:hint="eastAsia" w:ascii="宋体" w:hAnsi="宋体"/>
          <w:szCs w:val="21"/>
        </w:rPr>
        <w:t>34</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（二）主要概念界定</w:t>
      </w:r>
      <w:r>
        <w:rPr>
          <w:rFonts w:hint="eastAsia" w:ascii="宋体" w:hAnsi="宋体"/>
          <w:szCs w:val="21"/>
        </w:rPr>
        <w:tab/>
      </w:r>
      <w:r>
        <w:rPr>
          <w:rFonts w:hint="eastAsia" w:ascii="宋体" w:hAnsi="宋体"/>
          <w:szCs w:val="21"/>
        </w:rPr>
        <w:t>37</w:t>
      </w:r>
    </w:p>
    <w:p>
      <w:pPr>
        <w:tabs>
          <w:tab w:val="right" w:leader="dot" w:pos="9460"/>
          <w:tab w:val="right" w:leader="middleDot" w:pos="10500"/>
        </w:tabs>
        <w:spacing w:line="360" w:lineRule="exact"/>
        <w:rPr>
          <w:rFonts w:ascii="宋体" w:hAnsi="宋体"/>
          <w:szCs w:val="21"/>
        </w:rPr>
      </w:pPr>
      <w:r>
        <w:rPr>
          <w:rFonts w:hint="eastAsia" w:ascii="宋体" w:hAnsi="宋体"/>
          <w:szCs w:val="21"/>
        </w:rPr>
        <w:t>五、附录</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（一）国民经济行业分类目录</w:t>
      </w:r>
      <w:r>
        <w:rPr>
          <w:rFonts w:hint="eastAsia" w:ascii="宋体" w:hAnsi="宋体"/>
          <w:szCs w:val="21"/>
        </w:rPr>
        <w:tab/>
      </w:r>
      <w:r>
        <w:rPr>
          <w:rFonts w:hint="eastAsia" w:ascii="宋体" w:hAnsi="宋体"/>
          <w:szCs w:val="21"/>
        </w:rPr>
        <w:t>39</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（二）关于划分企业登记注册类型的规定</w:t>
      </w:r>
      <w:r>
        <w:rPr>
          <w:rFonts w:hint="eastAsia" w:ascii="宋体" w:hAnsi="宋体"/>
          <w:szCs w:val="21"/>
        </w:rPr>
        <w:tab/>
      </w:r>
      <w:r>
        <w:rPr>
          <w:rFonts w:hint="eastAsia" w:ascii="宋体" w:hAnsi="宋体"/>
          <w:szCs w:val="21"/>
        </w:rPr>
        <w:t>41</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（三）关于统计上对公有和非公有控股经济的分类办法</w:t>
      </w:r>
      <w:r>
        <w:rPr>
          <w:rFonts w:hint="eastAsia" w:ascii="宋体" w:hAnsi="宋体"/>
          <w:szCs w:val="21"/>
        </w:rPr>
        <w:tab/>
      </w:r>
      <w:r>
        <w:rPr>
          <w:rFonts w:hint="eastAsia" w:ascii="宋体" w:hAnsi="宋体"/>
          <w:szCs w:val="21"/>
        </w:rPr>
        <w:t>44</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（四）国别（地区）统计代码表</w:t>
      </w:r>
      <w:r>
        <w:rPr>
          <w:rFonts w:hint="eastAsia" w:ascii="宋体" w:hAnsi="宋体"/>
          <w:szCs w:val="21"/>
        </w:rPr>
        <w:tab/>
      </w:r>
      <w:r>
        <w:rPr>
          <w:rFonts w:hint="eastAsia" w:ascii="宋体" w:hAnsi="宋体"/>
          <w:szCs w:val="21"/>
        </w:rPr>
        <w:t>45</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（五）数据来源参考表式：境外企业基本信息采集表</w:t>
      </w:r>
      <w:r>
        <w:rPr>
          <w:rFonts w:hint="eastAsia" w:ascii="宋体" w:hAnsi="宋体"/>
          <w:szCs w:val="21"/>
        </w:rPr>
        <w:tab/>
      </w:r>
      <w:r>
        <w:rPr>
          <w:rFonts w:hint="eastAsia" w:ascii="宋体" w:hAnsi="宋体"/>
          <w:szCs w:val="21"/>
        </w:rPr>
        <w:t>52</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（六）文化及相关产业分类</w:t>
      </w:r>
      <w:r>
        <w:rPr>
          <w:rFonts w:hint="eastAsia" w:ascii="宋体" w:hAnsi="宋体"/>
          <w:szCs w:val="21"/>
        </w:rPr>
        <w:tab/>
      </w:r>
      <w:r>
        <w:rPr>
          <w:rFonts w:hint="eastAsia" w:ascii="宋体" w:hAnsi="宋体"/>
          <w:szCs w:val="21"/>
        </w:rPr>
        <w:t>54</w:t>
      </w:r>
    </w:p>
    <w:p>
      <w:pPr>
        <w:tabs>
          <w:tab w:val="right" w:leader="dot" w:pos="9460"/>
          <w:tab w:val="right" w:leader="middleDot" w:pos="10500"/>
        </w:tabs>
        <w:spacing w:line="360" w:lineRule="exact"/>
        <w:ind w:firstLine="210" w:firstLineChars="100"/>
        <w:rPr>
          <w:rFonts w:ascii="宋体" w:hAnsi="宋体" w:eastAsia="宋体"/>
          <w:szCs w:val="21"/>
        </w:rPr>
      </w:pPr>
      <w:r>
        <w:rPr>
          <w:rFonts w:hint="eastAsia" w:ascii="宋体" w:hAnsi="宋体"/>
          <w:szCs w:val="21"/>
        </w:rPr>
        <w:t>（七）向国家统计局报送的统计资料清单</w:t>
      </w:r>
      <w:r>
        <w:rPr>
          <w:rFonts w:hint="eastAsia" w:ascii="宋体" w:hAnsi="宋体"/>
          <w:szCs w:val="21"/>
        </w:rPr>
        <w:tab/>
      </w:r>
      <w:r>
        <w:rPr>
          <w:rFonts w:hint="eastAsia" w:ascii="宋体" w:hAnsi="宋体"/>
          <w:szCs w:val="21"/>
        </w:rPr>
        <w:t>56</w:t>
      </w:r>
    </w:p>
    <w:p>
      <w:pPr>
        <w:tabs>
          <w:tab w:val="right" w:leader="dot" w:pos="9460"/>
          <w:tab w:val="right" w:leader="middleDot" w:pos="10500"/>
        </w:tabs>
        <w:spacing w:line="360" w:lineRule="exact"/>
        <w:ind w:firstLine="210" w:firstLineChars="100"/>
        <w:rPr>
          <w:rFonts w:ascii="宋体" w:hAnsi="宋体" w:eastAsia="宋体"/>
          <w:szCs w:val="21"/>
        </w:rPr>
      </w:pPr>
      <w:r>
        <w:rPr>
          <w:rFonts w:hint="eastAsia" w:ascii="宋体" w:hAnsi="宋体"/>
          <w:szCs w:val="21"/>
        </w:rPr>
        <w:t>（八）《关于防范商务领域统计造假弄虚作假有关责任的规定》</w:t>
      </w:r>
      <w:r>
        <w:rPr>
          <w:rFonts w:hint="eastAsia" w:ascii="宋体" w:hAnsi="宋体"/>
          <w:szCs w:val="21"/>
        </w:rPr>
        <w:tab/>
      </w:r>
      <w:r>
        <w:rPr>
          <w:rFonts w:hint="eastAsia" w:ascii="宋体" w:hAnsi="宋体"/>
          <w:szCs w:val="21"/>
        </w:rPr>
        <w:t>56</w:t>
      </w:r>
    </w:p>
    <w:p>
      <w:pPr>
        <w:jc w:val="center"/>
        <w:rPr>
          <w:rFonts w:ascii="仿宋_GB2312" w:eastAsia="仿宋_GB2312"/>
          <w:sz w:val="30"/>
        </w:rPr>
      </w:pPr>
    </w:p>
    <w:p>
      <w:pPr>
        <w:numPr>
          <w:ilvl w:val="0"/>
          <w:numId w:val="2"/>
        </w:numPr>
        <w:jc w:val="center"/>
        <w:rPr>
          <w:rFonts w:ascii="黑体" w:hAnsi="宋体" w:eastAsia="黑体"/>
          <w:sz w:val="32"/>
          <w:szCs w:val="32"/>
        </w:rPr>
      </w:pPr>
      <w:r>
        <w:rPr>
          <w:rFonts w:hint="eastAsia" w:ascii="黑体" w:hAnsi="宋体" w:eastAsia="黑体"/>
          <w:sz w:val="32"/>
          <w:szCs w:val="32"/>
        </w:rPr>
        <w:t>总 说 明</w:t>
      </w:r>
    </w:p>
    <w:p>
      <w:pPr>
        <w:pStyle w:val="2"/>
        <w:tabs>
          <w:tab w:val="clear" w:pos="756"/>
        </w:tabs>
        <w:autoSpaceDE w:val="0"/>
        <w:autoSpaceDN w:val="0"/>
        <w:adjustRightInd w:val="0"/>
        <w:snapToGrid w:val="0"/>
        <w:spacing w:line="400" w:lineRule="exact"/>
        <w:ind w:firstLine="420" w:firstLineChars="200"/>
        <w:textAlignment w:val="bottom"/>
        <w:rPr>
          <w:b/>
          <w:szCs w:val="21"/>
        </w:rPr>
      </w:pPr>
      <w:r>
        <w:rPr>
          <w:b/>
          <w:szCs w:val="21"/>
        </w:rPr>
        <w:t>（一）</w:t>
      </w:r>
      <w:r>
        <w:rPr>
          <w:rFonts w:hint="eastAsia"/>
          <w:b/>
          <w:szCs w:val="21"/>
        </w:rPr>
        <w:t>调查目的</w:t>
      </w:r>
    </w:p>
    <w:p>
      <w:pPr>
        <w:pStyle w:val="2"/>
        <w:tabs>
          <w:tab w:val="clear" w:pos="756"/>
        </w:tabs>
        <w:autoSpaceDE w:val="0"/>
        <w:autoSpaceDN w:val="0"/>
        <w:adjustRightInd w:val="0"/>
        <w:snapToGrid w:val="0"/>
        <w:spacing w:line="400" w:lineRule="exact"/>
        <w:ind w:firstLineChars="200"/>
        <w:textAlignment w:val="bottom"/>
        <w:rPr>
          <w:rFonts w:ascii="宋体"/>
          <w:bCs/>
          <w:szCs w:val="21"/>
        </w:rPr>
      </w:pPr>
      <w:r>
        <w:rPr>
          <w:rFonts w:hint="eastAsia" w:ascii="宋体"/>
          <w:bCs/>
          <w:szCs w:val="21"/>
        </w:rPr>
        <w:t>为准确、及时、全面地反映我国对外直接投资的实际情况，科学、有效地组织全国对外直接投资统计工作，充分发挥统计咨询、监督作用，依照《中华人民共和国统计法》，特制定本制度。对外直接投资统计的基本任务是通过统计调查、统计分析和提供统计资料，全面、准确、及时地反映我国对外直接投资的全貌，为国家分析境外投资发展趋势，监测宏观运行，制定促进导向政策和实施监督管理，以及建立我国资本项目预警机制提供依据。</w:t>
      </w:r>
    </w:p>
    <w:p>
      <w:pPr>
        <w:pStyle w:val="2"/>
        <w:numPr>
          <w:ilvl w:val="0"/>
          <w:numId w:val="1"/>
        </w:numPr>
        <w:tabs>
          <w:tab w:val="clear" w:pos="756"/>
        </w:tabs>
        <w:autoSpaceDE w:val="0"/>
        <w:autoSpaceDN w:val="0"/>
        <w:adjustRightInd w:val="0"/>
        <w:snapToGrid w:val="0"/>
        <w:spacing w:line="400" w:lineRule="exact"/>
        <w:textAlignment w:val="bottom"/>
        <w:rPr>
          <w:rFonts w:ascii="宋体"/>
          <w:b/>
          <w:bCs/>
          <w:szCs w:val="21"/>
        </w:rPr>
      </w:pPr>
      <w:r>
        <w:rPr>
          <w:rFonts w:hint="eastAsia" w:ascii="宋体"/>
          <w:b/>
          <w:bCs/>
          <w:szCs w:val="21"/>
        </w:rPr>
        <w:t>调查对象</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所有发生对外直接投资活动的</w:t>
      </w:r>
      <w:r>
        <w:rPr>
          <w:rFonts w:hint="eastAsia" w:ascii="宋体"/>
          <w:bCs/>
          <w:szCs w:val="21"/>
        </w:rPr>
        <w:t>中国</w:t>
      </w:r>
      <w:r>
        <w:rPr>
          <w:rFonts w:hint="eastAsia" w:ascii="宋体" w:hAnsi="宋体"/>
          <w:bCs/>
          <w:szCs w:val="21"/>
        </w:rPr>
        <w:t>境内机构和个人（以下简称境内投资者）</w:t>
      </w:r>
      <w:r>
        <w:rPr>
          <w:rFonts w:hint="eastAsia" w:ascii="宋体"/>
          <w:bCs/>
          <w:szCs w:val="21"/>
        </w:rPr>
        <w:t>。</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三</w:t>
      </w:r>
      <w:r>
        <w:rPr>
          <w:b/>
          <w:szCs w:val="21"/>
        </w:rPr>
        <w:t>）</w:t>
      </w:r>
      <w:r>
        <w:rPr>
          <w:rFonts w:hint="eastAsia"/>
          <w:b/>
          <w:szCs w:val="21"/>
        </w:rPr>
        <w:t>调查范围</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1、我国境内投资者以现金、实物、无形资产等方式在国外及港澳台地区设立、参股、兼并、收购国（境）外企业，并拥有该企业</w:t>
      </w:r>
      <w:r>
        <w:rPr>
          <w:rFonts w:ascii="宋体" w:hAnsi="宋体"/>
          <w:bCs/>
          <w:szCs w:val="21"/>
        </w:rPr>
        <w:t xml:space="preserve">10% </w:t>
      </w:r>
      <w:r>
        <w:rPr>
          <w:rFonts w:hint="eastAsia" w:ascii="宋体" w:hAnsi="宋体"/>
          <w:bCs/>
          <w:szCs w:val="21"/>
        </w:rPr>
        <w:t>或以上的股权、投票权或其他等价利益的经济活动。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2、对外直接投资统计的范围主要包括境内投资者通过直接投资方式在境外拥有或控制10％或以上股权、投票权或其他等价利益的各类公司型和非公司型的境外直接投资企业(以下简称境外企业)。</w:t>
      </w:r>
    </w:p>
    <w:p>
      <w:pPr>
        <w:pStyle w:val="2"/>
        <w:tabs>
          <w:tab w:val="clear" w:pos="756"/>
        </w:tabs>
        <w:autoSpaceDE w:val="0"/>
        <w:autoSpaceDN w:val="0"/>
        <w:adjustRightInd w:val="0"/>
        <w:snapToGrid w:val="0"/>
        <w:spacing w:line="400" w:lineRule="exact"/>
        <w:ind w:firstLine="420" w:firstLineChars="200"/>
        <w:textAlignment w:val="bottom"/>
        <w:rPr>
          <w:b/>
          <w:szCs w:val="21"/>
        </w:rPr>
      </w:pPr>
      <w:r>
        <w:rPr>
          <w:b/>
          <w:szCs w:val="21"/>
        </w:rPr>
        <w:t>（四）</w:t>
      </w:r>
      <w:r>
        <w:rPr>
          <w:rFonts w:hint="eastAsia"/>
          <w:b/>
          <w:szCs w:val="21"/>
        </w:rPr>
        <w:t>调查</w:t>
      </w:r>
      <w:r>
        <w:rPr>
          <w:b/>
          <w:szCs w:val="21"/>
        </w:rPr>
        <w:t>内容</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对外直接投资统计的内容主要包括：境内投资者的基本情况；境外企业的基本情况；对外直接投资流量、存量情况；成员企业间债务工具情况；境外企业返程投资情况；通过境外企业再投资情况；境外主要矿产资源情况；主要国际产能合作领域情况；对外直接投资月度投资情况；对外投资并购情况；农业对外投资合作情况；境外经济贸易合作区情况、通过境外企业再投资月度情况、对外投资带动出口情况等。</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对外直接投资统计的指标主要包括：对外直接投资额；对外直接投资流量；年末对外直接投资存量；反向投资额；股权；收益再投资；债务工具；资产总计；负债合计；所有者权益合计；实收资本；销售(营业)收入；利润总额；年末从业人数；对所在国家（地区）缴纳的税金总额等。</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五</w:t>
      </w:r>
      <w:r>
        <w:rPr>
          <w:b/>
          <w:szCs w:val="21"/>
        </w:rPr>
        <w:t>）</w:t>
      </w:r>
      <w:r>
        <w:rPr>
          <w:rFonts w:hint="eastAsia"/>
          <w:b/>
          <w:szCs w:val="21"/>
        </w:rPr>
        <w:t>统计调查方法</w:t>
      </w:r>
    </w:p>
    <w:p>
      <w:pPr>
        <w:autoSpaceDE w:val="0"/>
        <w:autoSpaceDN w:val="0"/>
        <w:adjustRightInd w:val="0"/>
        <w:snapToGrid w:val="0"/>
        <w:spacing w:line="400" w:lineRule="exact"/>
        <w:ind w:firstLine="420" w:firstLineChars="200"/>
        <w:textAlignment w:val="bottom"/>
        <w:rPr>
          <w:szCs w:val="21"/>
        </w:rPr>
      </w:pPr>
      <w:r>
        <w:rPr>
          <w:rFonts w:hint="eastAsia"/>
          <w:szCs w:val="21"/>
        </w:rPr>
        <w:t>本制度采用全面调查的方法</w:t>
      </w:r>
      <w:r>
        <w:rPr>
          <w:szCs w:val="21"/>
        </w:rPr>
        <w:t>。</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六</w:t>
      </w:r>
      <w:r>
        <w:rPr>
          <w:b/>
          <w:szCs w:val="21"/>
        </w:rPr>
        <w:t>）</w:t>
      </w:r>
      <w:r>
        <w:rPr>
          <w:rFonts w:hint="eastAsia"/>
          <w:b/>
          <w:szCs w:val="21"/>
        </w:rPr>
        <w:t>调查频率及调查时间</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本制度采用定期填报统计报表方式，收集、整理统计资料。调查表分为年度报表和月度报表</w:t>
      </w:r>
      <w:r>
        <w:rPr>
          <w:rFonts w:hint="eastAsia"/>
          <w:szCs w:val="21"/>
        </w:rPr>
        <w:t>。其中月度报表调查时间为1日至当月最后一日，年度报表调查时间是1月1日至12月31日。</w:t>
      </w:r>
    </w:p>
    <w:p>
      <w:pPr>
        <w:autoSpaceDE w:val="0"/>
        <w:autoSpaceDN w:val="0"/>
        <w:adjustRightInd w:val="0"/>
        <w:snapToGrid w:val="0"/>
        <w:spacing w:line="400" w:lineRule="exact"/>
        <w:ind w:firstLine="420" w:firstLineChars="200"/>
        <w:textAlignment w:val="bottom"/>
        <w:rPr>
          <w:b/>
          <w:szCs w:val="21"/>
        </w:rPr>
      </w:pPr>
      <w:r>
        <w:rPr>
          <w:rFonts w:hint="eastAsia"/>
          <w:b/>
          <w:szCs w:val="21"/>
        </w:rPr>
        <w:t>（七）</w:t>
      </w:r>
      <w:r>
        <w:rPr>
          <w:b/>
          <w:szCs w:val="21"/>
        </w:rPr>
        <w:t>组织方式和渠道</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1、对外直接投资统计实行统一领导，分级管理，逐级报送。</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商务部根据国家统计局的统一要求，负责全国对外直接投资的统计工作，管理各省、自治区、直辖市及计划单列市商务主管部门和中央企业（单位）的对外直接投资统计工作，综合编制、汇总全国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（2）国家外汇管理局（以下简称外汇局）负责全国金融业的对外直接投资统计工作，管理金融业境内投资者的对外直接投资统计工作，综合编制、汇总并向商务部提供金融领域的对外直接投资统计资料。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（3）各省级商务主管部门负责本行政区域内对外直接投资统计工作，管理本行政区域内非金融业境内投资者 (不包括该行政区域内中央管理的企业，下同) 的对外直接投资统计工作，综合编制、汇总并向商务部报送本行政区域内的对外直接投资统计资料。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（4）境内投资者负责管理本单位的对外直接投资统计工作，按照本制度规定的表式搜集其境外直接投资企业的统计资料，综合编制、汇总并向省级商务主管部门、商务部或外汇局报送本单位的统计资料。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2、商务部、国家统计局和外汇局根据需要对重点统计调查项目采取典型调查方式，收集、整理统计资料，具体办法另文制定。</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对外直接投资统计报表报送渠道：</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（1）境内投资者为中央企业、单位的，直接向商务部报送统计报表。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（2）境内投资者为金融企业（包括银行、保险公司、证券公司、基金公司、信托公司、财务公司等）的，直接向外汇局报送统计报表。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（3）其他境内投资者向所在地商务主管部门报送统计报表。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（4）各省级商务主管部门汇总本行政区域内（不包括中央企业）的统计资料并上报商务部，同时抄送同级统计部门。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（5）外汇局负责收集、审核、汇总金融业境内投资者的统计资料，向商务部提供金融部分对外直接投资统计资料。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（6）商务部负责汇总全行业对外直接投资统计资料并报国家统计局，同时共享外汇局使用。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（7）境内投资者对外直接投资涉及的所有境外企业均按（1）、（2）、（3）渠道报送。</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八</w:t>
      </w:r>
      <w:r>
        <w:rPr>
          <w:b/>
          <w:szCs w:val="21"/>
        </w:rPr>
        <w:t>）</w:t>
      </w:r>
      <w:r>
        <w:rPr>
          <w:rFonts w:hint="eastAsia"/>
          <w:b/>
          <w:szCs w:val="21"/>
        </w:rPr>
        <w:t>填报要求</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1、各级商务主管部门和有关企业、单位须根据对外直接投资统计工作的需要及工作量，配备统计人员（专职或兼职），提供必要的经费及办公设备。</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w:t>
      </w:r>
      <w:r>
        <w:rPr>
          <w:rFonts w:hint="eastAsia"/>
        </w:rPr>
        <w:t>统计机构、统计人员应当依法履行职责，如实搜集、报送统计资料，不得伪造、篡改统计资料，不得以任何方式要求任何单位和个人提供不真实的统计资料。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3、拒绝提供对外直接投资统计资料或者经催报后仍未按时提供统计资料的境内投资者，其行为将被纳入对外投资合作领域不良信用记录并在商务部网站进行公示。</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4、逢国家法定的节假日，统计报表的报送时间顺延。</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5、本制度使用的国别(地区)统计代码，按海关总署制定的《国别(地区)统计代码》执行。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6、境内投资者所属行业类别按《国民经济行业分类》（GB/T 4754-2017）执行,境外企业所属行业类别参照执行。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7、境内投资者所属企业登记注册类型按国家统计局、国家工商行政管理总局2011年发布的《关于划分企业登记注册类型的规定》执行。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8、境内投资者所属企业所有制性质按国家统计局2005年发布的《关于统计上对公有和非公有控股经济的分类办法》执行。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9、文化及相关产业分类按照国家统计局2018年发布的《文化及相关产业分类》执行。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10、统一社会信用代码以有关</w:t>
      </w:r>
      <w:r>
        <w:rPr>
          <w:rFonts w:ascii="宋体" w:hAnsi="宋体"/>
          <w:bCs/>
          <w:szCs w:val="21"/>
        </w:rPr>
        <w:t>登记管理部门</w:t>
      </w:r>
      <w:r>
        <w:rPr>
          <w:rFonts w:hint="eastAsia" w:ascii="宋体" w:hAnsi="宋体"/>
          <w:bCs/>
          <w:szCs w:val="21"/>
        </w:rPr>
        <w:t>颁发的《统一社会信用代码证书》或相关证明为准</w:t>
      </w:r>
      <w:r>
        <w:rPr>
          <w:rFonts w:ascii="宋体" w:hAnsi="宋体"/>
          <w:bCs/>
          <w:szCs w:val="21"/>
        </w:rPr>
        <w:t>。</w:t>
      </w:r>
    </w:p>
    <w:p>
      <w:pPr>
        <w:autoSpaceDE w:val="0"/>
        <w:autoSpaceDN w:val="0"/>
        <w:adjustRightInd w:val="0"/>
        <w:snapToGrid w:val="0"/>
        <w:spacing w:line="400" w:lineRule="exact"/>
        <w:ind w:firstLine="420" w:firstLineChars="200"/>
        <w:textAlignment w:val="bottom"/>
        <w:rPr>
          <w:rFonts w:ascii="宋体" w:hAnsi="宋体"/>
          <w:b/>
          <w:bCs/>
          <w:szCs w:val="21"/>
        </w:rPr>
      </w:pPr>
      <w:r>
        <w:rPr>
          <w:rFonts w:hint="eastAsia" w:ascii="宋体" w:hAnsi="宋体"/>
          <w:b/>
          <w:bCs/>
          <w:szCs w:val="21"/>
        </w:rPr>
        <w:t>（九）质量控制</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w:t>
      </w:r>
      <w:r>
        <w:rPr>
          <w:rFonts w:hint="eastAsia" w:ascii="宋体" w:hAnsi="宋体"/>
          <w:bCs/>
          <w:szCs w:val="21"/>
          <w:lang w:eastAsia="zh-CN"/>
        </w:rPr>
        <w:t>本</w:t>
      </w:r>
      <w:r>
        <w:rPr>
          <w:rFonts w:hint="eastAsia" w:ascii="宋体" w:hAnsi="宋体"/>
          <w:bCs/>
          <w:szCs w:val="21"/>
        </w:rPr>
        <w:t>制度</w:t>
      </w:r>
      <w:r>
        <w:rPr>
          <w:rFonts w:hint="eastAsia" w:ascii="宋体" w:hAnsi="宋体"/>
          <w:bCs/>
          <w:szCs w:val="21"/>
          <w:lang w:eastAsia="zh-CN"/>
        </w:rPr>
        <w:t>涉及对外直接投资</w:t>
      </w:r>
      <w:r>
        <w:rPr>
          <w:rFonts w:hint="eastAsia" w:ascii="宋体" w:hAnsi="宋体"/>
          <w:bCs/>
          <w:szCs w:val="21"/>
        </w:rPr>
        <w:t>统计标准</w:t>
      </w:r>
      <w:r>
        <w:rPr>
          <w:rFonts w:hint="eastAsia" w:ascii="宋体" w:hAnsi="宋体"/>
          <w:bCs/>
          <w:szCs w:val="21"/>
          <w:lang w:eastAsia="zh-CN"/>
        </w:rPr>
        <w:t>、原则遵循</w:t>
      </w:r>
      <w:r>
        <w:rPr>
          <w:rFonts w:hint="eastAsia" w:ascii="宋体" w:hAnsi="宋体"/>
          <w:bCs/>
          <w:szCs w:val="21"/>
        </w:rPr>
        <w:t>经济合作与发展组织（OECD）《关于外国直接投资基准定义》（第四版）有关规定，统计数据与全球大多数国家（地区）具有可比性。</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2、为全面反映对外直接投资实际情况，对外直接投资月度统计数据包括商务部根据上年收益再投资测算的月度收益再投资，商务部根据测算结果将月度收益再投资分摊到有关行业、国家（地区）、省份等。</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3、商务部、国家统计局和外汇局可根据对外直接投资实际情况对本年月度数据及上年度年报数据予以调整，年度最终数据以统计公报公布的数据为准。</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4、商务部定期对各省级商务主管部门和中央企业</w:t>
      </w:r>
      <w:r>
        <w:rPr>
          <w:rFonts w:hint="eastAsia" w:ascii="宋体" w:hAnsi="宋体"/>
          <w:bCs/>
          <w:szCs w:val="21"/>
          <w:lang w:eastAsia="zh-CN"/>
        </w:rPr>
        <w:t>（单位）</w:t>
      </w:r>
      <w:r>
        <w:rPr>
          <w:rFonts w:hint="eastAsia" w:ascii="宋体" w:hAnsi="宋体"/>
          <w:bCs/>
          <w:szCs w:val="21"/>
        </w:rPr>
        <w:t>的对外直接投资统计工作开展情况进行通报，加强统计管理，不断提升统计数据质量。</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5、商务部制定《关于防范商务领域统计造假弄虚作假有关责任的规定》，落实统计责任，全面防范和严肃惩治商务统计造假，保障统计数据质量。</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6、为保证统计数据完整、准确，各省级商务主管部门、有关中央企业</w:t>
      </w:r>
      <w:r>
        <w:rPr>
          <w:rFonts w:hint="eastAsia" w:ascii="宋体" w:hAnsi="宋体"/>
          <w:bCs/>
          <w:szCs w:val="21"/>
          <w:lang w:eastAsia="zh-CN"/>
        </w:rPr>
        <w:t>应</w:t>
      </w:r>
      <w:r>
        <w:rPr>
          <w:rFonts w:hint="eastAsia" w:ascii="宋体" w:hAnsi="宋体"/>
          <w:bCs/>
          <w:szCs w:val="21"/>
        </w:rPr>
        <w:t>做好辖区及下属企业的对外直接投资统计培训工作。</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7、境内投资主体是否按照统计制度要求报送对外直接投资统计资料，已列入商务部市场监管“双随机、一公开”执法事项。</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十</w:t>
      </w:r>
      <w:r>
        <w:rPr>
          <w:b/>
          <w:szCs w:val="21"/>
        </w:rPr>
        <w:t>）</w:t>
      </w:r>
      <w:r>
        <w:rPr>
          <w:rFonts w:hint="eastAsia"/>
          <w:b/>
          <w:szCs w:val="21"/>
        </w:rPr>
        <w:t>统计资料公布和信息共享</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1、对外直接投资统计数据采取定期公布制度。对外投资合作业务管理中使用的以及对外提供的统计资料，以商务部、国家统计局和外汇局公布的统计资料为准。</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2、年度综合统计数据由商务部、国家统计局和外汇局于次年9月30日前以年度对外直接投资统计公报形式对外公布，并通过商务部网站（www.mofcom.gov.cn</w:t>
      </w:r>
      <w:r>
        <w:rPr>
          <w:rFonts w:ascii="宋体" w:hAnsi="宋体"/>
          <w:bCs/>
          <w:szCs w:val="21"/>
        </w:rPr>
        <w:t>）</w:t>
      </w:r>
      <w:r>
        <w:rPr>
          <w:rFonts w:hint="eastAsia" w:ascii="宋体" w:hAnsi="宋体"/>
          <w:bCs/>
          <w:szCs w:val="21"/>
        </w:rPr>
        <w:t>与全社会共享；月度综合统计数据由商务部于月后30日内通过商务部政府网站或新闻发布会形式对外公布与全社会共享。每年1季度，商务部根据月度统计数据生成年度对外直接投资统计初步数据，同比计算基数为上年度统计初步数据。</w:t>
      </w: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p>
    <w:p>
      <w:pPr>
        <w:pStyle w:val="16"/>
        <w:jc w:val="center"/>
        <w:rPr>
          <w:rFonts w:ascii="黑体" w:hAnsi="宋体" w:eastAsia="黑体"/>
          <w:bCs/>
          <w:sz w:val="32"/>
        </w:rPr>
      </w:pPr>
      <w:r>
        <w:rPr>
          <w:rFonts w:hint="eastAsia" w:ascii="黑体" w:hAnsi="宋体" w:eastAsia="黑体"/>
          <w:bCs/>
          <w:sz w:val="32"/>
        </w:rPr>
        <w:t>二、 报 表 目 录</w:t>
      </w:r>
    </w:p>
    <w:p>
      <w:pPr>
        <w:pStyle w:val="16"/>
        <w:jc w:val="center"/>
        <w:rPr>
          <w:rFonts w:ascii="黑体" w:hAnsi="宋体" w:eastAsia="黑体"/>
          <w:bCs/>
          <w:szCs w:val="21"/>
        </w:rPr>
      </w:pPr>
    </w:p>
    <w:tbl>
      <w:tblPr>
        <w:tblStyle w:val="11"/>
        <w:tblW w:w="9525" w:type="dxa"/>
        <w:jc w:val="center"/>
        <w:tblInd w:w="-72" w:type="dxa"/>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15"/>
        <w:gridCol w:w="2102"/>
        <w:gridCol w:w="56"/>
        <w:gridCol w:w="664"/>
        <w:gridCol w:w="56"/>
        <w:gridCol w:w="1800"/>
        <w:gridCol w:w="1203"/>
        <w:gridCol w:w="1680"/>
        <w:gridCol w:w="649"/>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99" w:hRule="atLeast"/>
          <w:jc w:val="center"/>
        </w:trPr>
        <w:tc>
          <w:tcPr>
            <w:tcW w:w="1315" w:type="dxa"/>
            <w:tcBorders>
              <w:tl2br w:val="nil"/>
              <w:tr2bl w:val="nil"/>
            </w:tcBorders>
            <w:vAlign w:val="center"/>
          </w:tcPr>
          <w:p>
            <w:pPr>
              <w:spacing w:line="240" w:lineRule="exact"/>
              <w:jc w:val="center"/>
              <w:rPr>
                <w:sz w:val="24"/>
              </w:rPr>
            </w:pPr>
            <w:r>
              <w:rPr>
                <w:rFonts w:hint="eastAsia" w:ascii="宋体" w:hAnsi="宋体"/>
                <w:sz w:val="18"/>
              </w:rPr>
              <w:t>表号</w:t>
            </w:r>
          </w:p>
        </w:tc>
        <w:tc>
          <w:tcPr>
            <w:tcW w:w="2158" w:type="dxa"/>
            <w:gridSpan w:val="2"/>
            <w:tcBorders>
              <w:tl2br w:val="nil"/>
              <w:tr2bl w:val="nil"/>
            </w:tcBorders>
            <w:vAlign w:val="center"/>
          </w:tcPr>
          <w:p>
            <w:pPr>
              <w:spacing w:line="240" w:lineRule="exact"/>
              <w:jc w:val="center"/>
              <w:rPr>
                <w:sz w:val="24"/>
              </w:rPr>
            </w:pPr>
            <w:r>
              <w:rPr>
                <w:rFonts w:hint="eastAsia" w:ascii="宋体" w:hAnsi="宋体"/>
                <w:sz w:val="18"/>
              </w:rPr>
              <w:t>表       名</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报告</w:t>
            </w:r>
          </w:p>
          <w:p>
            <w:pPr>
              <w:spacing w:line="240" w:lineRule="exact"/>
              <w:jc w:val="center"/>
              <w:rPr>
                <w:sz w:val="24"/>
              </w:rPr>
            </w:pPr>
            <w:r>
              <w:rPr>
                <w:rFonts w:hint="eastAsia" w:ascii="宋体" w:hAnsi="宋体"/>
                <w:sz w:val="18"/>
              </w:rPr>
              <w:t>期别</w:t>
            </w:r>
          </w:p>
        </w:tc>
        <w:tc>
          <w:tcPr>
            <w:tcW w:w="1800" w:type="dxa"/>
            <w:tcBorders>
              <w:tl2br w:val="nil"/>
              <w:tr2bl w:val="nil"/>
            </w:tcBorders>
            <w:vAlign w:val="center"/>
          </w:tcPr>
          <w:p>
            <w:pPr>
              <w:spacing w:line="240" w:lineRule="exact"/>
              <w:jc w:val="center"/>
              <w:rPr>
                <w:sz w:val="18"/>
                <w:szCs w:val="18"/>
              </w:rPr>
            </w:pPr>
            <w:r>
              <w:rPr>
                <w:rFonts w:hint="eastAsia"/>
                <w:sz w:val="18"/>
                <w:szCs w:val="18"/>
              </w:rPr>
              <w:t>统计范围</w:t>
            </w:r>
          </w:p>
        </w:tc>
        <w:tc>
          <w:tcPr>
            <w:tcW w:w="1203" w:type="dxa"/>
            <w:tcBorders>
              <w:tl2br w:val="nil"/>
              <w:tr2bl w:val="nil"/>
            </w:tcBorders>
            <w:vAlign w:val="center"/>
          </w:tcPr>
          <w:p>
            <w:pPr>
              <w:spacing w:line="240" w:lineRule="exact"/>
              <w:ind w:left="282"/>
              <w:jc w:val="center"/>
              <w:rPr>
                <w:sz w:val="24"/>
              </w:rPr>
            </w:pPr>
            <w:r>
              <w:rPr>
                <w:rFonts w:hint="eastAsia" w:ascii="宋体" w:hAnsi="宋体"/>
                <w:sz w:val="18"/>
              </w:rPr>
              <w:t>报送、提供单位</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报送、提供日期</w:t>
            </w:r>
          </w:p>
          <w:p>
            <w:pPr>
              <w:spacing w:line="240" w:lineRule="exact"/>
              <w:jc w:val="center"/>
              <w:rPr>
                <w:sz w:val="24"/>
              </w:rPr>
            </w:pPr>
            <w:r>
              <w:rPr>
                <w:rFonts w:hint="eastAsia" w:ascii="宋体" w:hAnsi="宋体"/>
                <w:sz w:val="18"/>
              </w:rPr>
              <w:t>及方式</w:t>
            </w:r>
          </w:p>
        </w:tc>
        <w:tc>
          <w:tcPr>
            <w:tcW w:w="649" w:type="dxa"/>
            <w:tcBorders>
              <w:tl2br w:val="nil"/>
              <w:tr2bl w:val="nil"/>
            </w:tcBorders>
            <w:vAlign w:val="center"/>
          </w:tcPr>
          <w:p>
            <w:pPr>
              <w:spacing w:line="240" w:lineRule="exact"/>
              <w:jc w:val="center"/>
              <w:rPr>
                <w:sz w:val="24"/>
              </w:rPr>
            </w:pPr>
            <w:r>
              <w:rPr>
                <w:rFonts w:hint="eastAsia" w:ascii="宋体" w:hAnsi="宋体"/>
                <w:sz w:val="18"/>
              </w:rPr>
              <w:t>页码</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9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（一）综合报表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7"/>
              <w:spacing w:line="240" w:lineRule="exact"/>
              <w:rPr>
                <w:rFonts w:ascii="宋体" w:hAnsi="宋体"/>
                <w:sz w:val="18"/>
              </w:rPr>
            </w:pPr>
            <w:r>
              <w:rPr>
                <w:rFonts w:hint="eastAsia" w:ascii="宋体" w:hAnsi="宋体"/>
                <w:sz w:val="18"/>
              </w:rPr>
              <w:t>FDI金融N1表</w:t>
            </w:r>
          </w:p>
        </w:tc>
        <w:tc>
          <w:tcPr>
            <w:tcW w:w="2158" w:type="dxa"/>
            <w:gridSpan w:val="2"/>
            <w:tcBorders>
              <w:tl2br w:val="nil"/>
              <w:tr2bl w:val="nil"/>
            </w:tcBorders>
          </w:tcPr>
          <w:p>
            <w:pPr>
              <w:spacing w:line="240" w:lineRule="exact"/>
              <w:rPr>
                <w:sz w:val="24"/>
              </w:rPr>
            </w:pPr>
            <w:r>
              <w:rPr>
                <w:rFonts w:hint="eastAsia" w:ascii="宋体" w:hAnsi="宋体"/>
                <w:sz w:val="18"/>
              </w:rPr>
              <w:t>金融业境内投资者对外直接投资流量和存量（按国别地区分组）</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全部金融业境内</w:t>
            </w:r>
          </w:p>
          <w:p>
            <w:pPr>
              <w:spacing w:line="240" w:lineRule="exact"/>
              <w:jc w:val="center"/>
              <w:rPr>
                <w:sz w:val="24"/>
              </w:rPr>
            </w:pPr>
            <w:r>
              <w:rPr>
                <w:rFonts w:hint="eastAsia"/>
                <w:sz w:val="18"/>
                <w:szCs w:val="18"/>
              </w:rPr>
              <w:t>投资者</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国家外汇管理局</w:t>
            </w:r>
          </w:p>
        </w:tc>
        <w:tc>
          <w:tcPr>
            <w:tcW w:w="1680" w:type="dxa"/>
            <w:tcBorders>
              <w:tl2br w:val="nil"/>
              <w:tr2bl w:val="nil"/>
            </w:tcBorders>
          </w:tcPr>
          <w:p>
            <w:pPr>
              <w:spacing w:line="240" w:lineRule="exact"/>
              <w:rPr>
                <w:rFonts w:ascii="宋体" w:hAnsi="宋体"/>
                <w:sz w:val="18"/>
              </w:rPr>
            </w:pPr>
          </w:p>
          <w:p>
            <w:pPr>
              <w:spacing w:line="240" w:lineRule="exact"/>
              <w:jc w:val="center"/>
              <w:rPr>
                <w:sz w:val="24"/>
              </w:rPr>
            </w:pPr>
            <w:r>
              <w:rPr>
                <w:rFonts w:hint="eastAsia" w:ascii="宋体" w:hAnsi="宋体"/>
                <w:sz w:val="18"/>
              </w:rPr>
              <w:t>年后7月20日前向商务部提供，纸介质</w:t>
            </w:r>
          </w:p>
        </w:tc>
        <w:tc>
          <w:tcPr>
            <w:tcW w:w="649" w:type="dxa"/>
            <w:tcBorders>
              <w:tl2br w:val="nil"/>
              <w:tr2bl w:val="nil"/>
            </w:tcBorders>
            <w:vAlign w:val="center"/>
          </w:tcPr>
          <w:p>
            <w:pPr>
              <w:spacing w:line="240" w:lineRule="exact"/>
              <w:jc w:val="center"/>
              <w:rPr>
                <w:rFonts w:ascii="宋体" w:hAnsi="宋体"/>
                <w:sz w:val="18"/>
                <w:szCs w:val="18"/>
              </w:rPr>
            </w:pPr>
          </w:p>
          <w:p>
            <w:pPr>
              <w:spacing w:line="240" w:lineRule="exact"/>
              <w:jc w:val="center"/>
              <w:rPr>
                <w:rFonts w:ascii="宋体" w:hAnsi="宋体" w:eastAsia="宋体"/>
                <w:sz w:val="18"/>
                <w:szCs w:val="18"/>
              </w:rPr>
            </w:pPr>
            <w:r>
              <w:rPr>
                <w:rFonts w:hint="eastAsia" w:ascii="宋体" w:hAnsi="宋体"/>
                <w:sz w:val="18"/>
                <w:szCs w:val="18"/>
              </w:rPr>
              <w:t>13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7"/>
              <w:spacing w:line="240" w:lineRule="exact"/>
              <w:rPr>
                <w:rFonts w:ascii="宋体" w:hAnsi="宋体"/>
                <w:sz w:val="18"/>
              </w:rPr>
            </w:pPr>
            <w:r>
              <w:rPr>
                <w:rFonts w:hint="eastAsia" w:ascii="宋体" w:hAnsi="宋体"/>
                <w:sz w:val="18"/>
              </w:rPr>
              <w:t>FDI金融N2表</w:t>
            </w:r>
          </w:p>
        </w:tc>
        <w:tc>
          <w:tcPr>
            <w:tcW w:w="2158" w:type="dxa"/>
            <w:gridSpan w:val="2"/>
            <w:tcBorders>
              <w:tl2br w:val="nil"/>
              <w:tr2bl w:val="nil"/>
            </w:tcBorders>
          </w:tcPr>
          <w:p>
            <w:pPr>
              <w:spacing w:line="240" w:lineRule="exact"/>
              <w:rPr>
                <w:rFonts w:ascii="宋体" w:hAnsi="宋体"/>
                <w:sz w:val="18"/>
              </w:rPr>
            </w:pPr>
            <w:r>
              <w:rPr>
                <w:rFonts w:hint="eastAsia" w:ascii="宋体" w:hAnsi="宋体"/>
                <w:sz w:val="18"/>
              </w:rPr>
              <w:t>金融业境内投资者对外直接投资流量和存量（按国民经济行业分组）</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0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14</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6"/>
              <w:spacing w:line="240" w:lineRule="exact"/>
              <w:rPr>
                <w:rFonts w:ascii="宋体" w:hAnsi="宋体" w:eastAsia="宋体"/>
                <w:b w:val="0"/>
                <w:sz w:val="18"/>
              </w:rPr>
            </w:pPr>
            <w:r>
              <w:rPr>
                <w:rFonts w:hint="eastAsia" w:ascii="宋体" w:hAnsi="宋体" w:eastAsia="宋体"/>
                <w:b w:val="0"/>
                <w:sz w:val="18"/>
              </w:rPr>
              <w:t>FDI金融N3表</w:t>
            </w:r>
          </w:p>
        </w:tc>
        <w:tc>
          <w:tcPr>
            <w:tcW w:w="2158" w:type="dxa"/>
            <w:gridSpan w:val="2"/>
            <w:tcBorders>
              <w:tl2br w:val="nil"/>
              <w:tr2bl w:val="nil"/>
            </w:tcBorders>
          </w:tcPr>
          <w:p>
            <w:pPr>
              <w:spacing w:line="240" w:lineRule="exact"/>
              <w:rPr>
                <w:sz w:val="24"/>
              </w:rPr>
            </w:pPr>
            <w:r>
              <w:rPr>
                <w:rFonts w:hint="eastAsia" w:ascii="宋体" w:hAnsi="宋体"/>
                <w:sz w:val="18"/>
              </w:rPr>
              <w:t>金融业境内投资者拥有的境外企业基本情况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tcPr>
          <w:p>
            <w:pPr>
              <w:spacing w:line="240" w:lineRule="exact"/>
              <w:rPr>
                <w:sz w:val="24"/>
              </w:rPr>
            </w:pPr>
          </w:p>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15</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FDI金融Y1表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金融业对外直接投资情况（按国别地区分组）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ind w:firstLine="604" w:firstLineChars="336"/>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24"/>
              </w:rPr>
            </w:pPr>
            <w:r>
              <w:rPr>
                <w:rFonts w:hint="eastAsia" w:ascii="宋体" w:hAnsi="宋体"/>
                <w:sz w:val="18"/>
              </w:rPr>
              <w:t>同上</w:t>
            </w:r>
          </w:p>
        </w:tc>
        <w:tc>
          <w:tcPr>
            <w:tcW w:w="1680" w:type="dxa"/>
            <w:tcBorders>
              <w:tl2br w:val="nil"/>
              <w:tr2bl w:val="nil"/>
            </w:tcBorders>
            <w:vAlign w:val="center"/>
          </w:tcPr>
          <w:p>
            <w:pPr>
              <w:spacing w:line="240" w:lineRule="exact"/>
              <w:rPr>
                <w:sz w:val="24"/>
              </w:rPr>
            </w:pPr>
            <w:r>
              <w:rPr>
                <w:rFonts w:hint="eastAsia" w:ascii="宋体" w:hAnsi="宋体"/>
                <w:sz w:val="18"/>
              </w:rPr>
              <w:t>月后15日前向商务部提供，纸介质</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16</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FDI金融Y2表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金融业对外直接投资情况（按国民经济行业分组）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rPr>
                <w:sz w:val="18"/>
                <w:szCs w:val="18"/>
              </w:rPr>
            </w:pPr>
            <w:r>
              <w:rPr>
                <w:sz w:val="18"/>
                <w:szCs w:val="18"/>
              </w:rPr>
              <w:t xml:space="preserve">       </w:t>
            </w:r>
            <w:r>
              <w:rPr>
                <w:rFonts w:hint="eastAsia"/>
                <w:sz w:val="18"/>
                <w:szCs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17</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3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（二）基层报表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FDIN1表</w:t>
            </w:r>
          </w:p>
        </w:tc>
        <w:tc>
          <w:tcPr>
            <w:tcW w:w="2102" w:type="dxa"/>
            <w:tcBorders>
              <w:tl2br w:val="nil"/>
              <w:tr2bl w:val="nil"/>
            </w:tcBorders>
            <w:vAlign w:val="center"/>
          </w:tcPr>
          <w:p>
            <w:pPr>
              <w:spacing w:line="240" w:lineRule="exact"/>
              <w:rPr>
                <w:sz w:val="24"/>
              </w:rPr>
            </w:pPr>
            <w:r>
              <w:rPr>
                <w:rFonts w:hint="eastAsia" w:ascii="宋体" w:hAnsi="宋体"/>
                <w:sz w:val="18"/>
              </w:rPr>
              <w:t>境内投资者基本情况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全部非金融业境内投资者</w:t>
            </w:r>
          </w:p>
          <w:p>
            <w:pPr>
              <w:spacing w:line="240" w:lineRule="exact"/>
              <w:ind w:firstLine="940" w:firstLineChars="392"/>
              <w:rPr>
                <w:sz w:val="24"/>
              </w:rPr>
            </w:pPr>
          </w:p>
        </w:tc>
        <w:tc>
          <w:tcPr>
            <w:tcW w:w="1203" w:type="dxa"/>
            <w:tcBorders>
              <w:tl2br w:val="nil"/>
              <w:tr2bl w:val="nil"/>
            </w:tcBorders>
            <w:vAlign w:val="center"/>
          </w:tcPr>
          <w:p>
            <w:pPr>
              <w:spacing w:line="240" w:lineRule="exact"/>
              <w:rPr>
                <w:rFonts w:ascii="宋体" w:hAnsi="宋体"/>
                <w:sz w:val="18"/>
              </w:rPr>
            </w:pPr>
            <w:r>
              <w:rPr>
                <w:rFonts w:hint="eastAsia" w:ascii="宋体" w:hAnsi="宋体"/>
                <w:sz w:val="18"/>
              </w:rPr>
              <w:t>非金融业境内投资者</w:t>
            </w:r>
          </w:p>
          <w:p>
            <w:pPr>
              <w:spacing w:line="240" w:lineRule="exact"/>
              <w:rPr>
                <w:sz w:val="24"/>
              </w:rPr>
            </w:pPr>
          </w:p>
        </w:tc>
        <w:tc>
          <w:tcPr>
            <w:tcW w:w="1680" w:type="dxa"/>
            <w:tcBorders>
              <w:tl2br w:val="nil"/>
              <w:tr2bl w:val="nil"/>
            </w:tcBorders>
            <w:vAlign w:val="center"/>
          </w:tcPr>
          <w:p>
            <w:pPr>
              <w:spacing w:line="240" w:lineRule="exact"/>
              <w:rPr>
                <w:sz w:val="24"/>
              </w:rPr>
            </w:pPr>
            <w:r>
              <w:rPr>
                <w:rFonts w:hint="eastAsia" w:ascii="宋体" w:hAnsi="宋体"/>
                <w:sz w:val="18"/>
              </w:rPr>
              <w:t>年后6月20日前报省级商务主管部门或商务部，网络传输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18</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FDIN2表</w:t>
            </w:r>
          </w:p>
        </w:tc>
        <w:tc>
          <w:tcPr>
            <w:tcW w:w="2102" w:type="dxa"/>
            <w:tcBorders>
              <w:tl2br w:val="nil"/>
              <w:tr2bl w:val="nil"/>
            </w:tcBorders>
            <w:vAlign w:val="center"/>
          </w:tcPr>
          <w:p>
            <w:pPr>
              <w:spacing w:line="240" w:lineRule="exact"/>
              <w:rPr>
                <w:sz w:val="24"/>
              </w:rPr>
            </w:pPr>
            <w:r>
              <w:rPr>
                <w:rFonts w:hint="eastAsia" w:ascii="宋体" w:hAnsi="宋体"/>
                <w:sz w:val="18"/>
              </w:rPr>
              <w:t>境外企业基本情况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24"/>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19</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tcPr>
          <w:p>
            <w:pPr>
              <w:pStyle w:val="16"/>
              <w:spacing w:line="240" w:lineRule="exact"/>
              <w:rPr>
                <w:rFonts w:ascii="宋体" w:hAnsi="宋体" w:eastAsia="宋体"/>
                <w:b w:val="0"/>
                <w:sz w:val="18"/>
              </w:rPr>
            </w:pPr>
          </w:p>
          <w:p>
            <w:pPr>
              <w:pStyle w:val="16"/>
              <w:spacing w:line="240" w:lineRule="exact"/>
              <w:rPr>
                <w:rFonts w:ascii="宋体" w:hAnsi="宋体" w:eastAsia="宋体"/>
                <w:b w:val="0"/>
                <w:sz w:val="18"/>
              </w:rPr>
            </w:pPr>
            <w:r>
              <w:rPr>
                <w:rFonts w:hint="eastAsia" w:ascii="宋体" w:hAnsi="宋体" w:eastAsia="宋体"/>
                <w:b w:val="0"/>
                <w:sz w:val="18"/>
              </w:rPr>
              <w:t>FDIN3表</w:t>
            </w:r>
          </w:p>
        </w:tc>
        <w:tc>
          <w:tcPr>
            <w:tcW w:w="2102" w:type="dxa"/>
            <w:tcBorders>
              <w:tl2br w:val="nil"/>
              <w:tr2bl w:val="nil"/>
            </w:tcBorders>
          </w:tcPr>
          <w:p>
            <w:pPr>
              <w:spacing w:line="240" w:lineRule="exact"/>
              <w:rPr>
                <w:sz w:val="24"/>
              </w:rPr>
            </w:pPr>
            <w:r>
              <w:rPr>
                <w:rFonts w:hint="eastAsia" w:ascii="宋体" w:hAnsi="宋体"/>
                <w:sz w:val="18"/>
              </w:rPr>
              <w:t>对外直接投资流量、存量情况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56"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同上</w:t>
            </w:r>
          </w:p>
        </w:tc>
        <w:tc>
          <w:tcPr>
            <w:tcW w:w="1203" w:type="dxa"/>
            <w:tcBorders>
              <w:tl2br w:val="nil"/>
              <w:tr2bl w:val="nil"/>
            </w:tcBorders>
          </w:tcPr>
          <w:p>
            <w:pPr>
              <w:spacing w:line="240" w:lineRule="exact"/>
              <w:jc w:val="center"/>
              <w:rPr>
                <w:sz w:val="18"/>
                <w:szCs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20</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tcPr>
          <w:p>
            <w:pPr>
              <w:pStyle w:val="16"/>
              <w:spacing w:line="240" w:lineRule="exact"/>
              <w:rPr>
                <w:rFonts w:ascii="宋体" w:hAnsi="宋体" w:eastAsia="宋体"/>
                <w:b w:val="0"/>
                <w:sz w:val="18"/>
              </w:rPr>
            </w:pPr>
          </w:p>
          <w:p>
            <w:pPr>
              <w:pStyle w:val="16"/>
              <w:spacing w:line="240" w:lineRule="exact"/>
              <w:rPr>
                <w:rFonts w:ascii="宋体" w:hAnsi="宋体" w:eastAsia="宋体"/>
                <w:b w:val="0"/>
                <w:sz w:val="18"/>
              </w:rPr>
            </w:pPr>
            <w:r>
              <w:rPr>
                <w:rFonts w:hint="eastAsia" w:ascii="宋体" w:hAnsi="宋体" w:eastAsia="宋体"/>
                <w:b w:val="0"/>
                <w:sz w:val="18"/>
              </w:rPr>
              <w:t>FDIN4表</w:t>
            </w:r>
          </w:p>
        </w:tc>
        <w:tc>
          <w:tcPr>
            <w:tcW w:w="2102" w:type="dxa"/>
            <w:tcBorders>
              <w:tl2br w:val="nil"/>
              <w:tr2bl w:val="nil"/>
            </w:tcBorders>
          </w:tcPr>
          <w:p>
            <w:pPr>
              <w:spacing w:line="240" w:lineRule="exact"/>
              <w:rPr>
                <w:rFonts w:ascii="宋体" w:hAnsi="宋体"/>
                <w:sz w:val="18"/>
              </w:rPr>
            </w:pPr>
            <w:r>
              <w:rPr>
                <w:rFonts w:hint="eastAsia" w:ascii="宋体" w:hAnsi="宋体"/>
                <w:sz w:val="18"/>
              </w:rPr>
              <w:t>成员企业间债务工具情况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tcPr>
          <w:p>
            <w:pPr>
              <w:spacing w:line="240" w:lineRule="exact"/>
              <w:jc w:val="center"/>
              <w:rPr>
                <w:sz w:val="18"/>
                <w:szCs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21</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tcPr>
          <w:p>
            <w:pPr>
              <w:pStyle w:val="17"/>
              <w:spacing w:line="240" w:lineRule="exact"/>
              <w:rPr>
                <w:rFonts w:ascii="宋体" w:hAnsi="宋体"/>
                <w:sz w:val="18"/>
              </w:rPr>
            </w:pPr>
          </w:p>
          <w:p>
            <w:pPr>
              <w:pStyle w:val="17"/>
              <w:spacing w:line="240" w:lineRule="exact"/>
              <w:rPr>
                <w:rFonts w:ascii="宋体" w:hAnsi="宋体"/>
                <w:sz w:val="18"/>
              </w:rPr>
            </w:pPr>
            <w:r>
              <w:rPr>
                <w:rFonts w:hint="eastAsia" w:ascii="宋体" w:hAnsi="宋体"/>
                <w:sz w:val="18"/>
              </w:rPr>
              <w:t>FDIN5表</w:t>
            </w:r>
          </w:p>
        </w:tc>
        <w:tc>
          <w:tcPr>
            <w:tcW w:w="2102" w:type="dxa"/>
            <w:tcBorders>
              <w:tl2br w:val="nil"/>
              <w:tr2bl w:val="nil"/>
            </w:tcBorders>
          </w:tcPr>
          <w:p>
            <w:pPr>
              <w:spacing w:line="240" w:lineRule="exact"/>
              <w:rPr>
                <w:rFonts w:ascii="宋体" w:hAnsi="宋体"/>
                <w:sz w:val="18"/>
              </w:rPr>
            </w:pPr>
          </w:p>
          <w:p>
            <w:pPr>
              <w:spacing w:line="240" w:lineRule="exact"/>
              <w:rPr>
                <w:rFonts w:ascii="宋体" w:hAnsi="宋体"/>
                <w:sz w:val="18"/>
              </w:rPr>
            </w:pPr>
            <w:r>
              <w:rPr>
                <w:rFonts w:hint="eastAsia" w:ascii="宋体" w:hAnsi="宋体"/>
                <w:sz w:val="18"/>
              </w:rPr>
              <w:t>境外企业返程投资情况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tcPr>
          <w:p>
            <w:pPr>
              <w:spacing w:line="240" w:lineRule="exact"/>
              <w:ind w:right="360"/>
              <w:jc w:val="center"/>
              <w:rPr>
                <w:rFonts w:ascii="宋体" w:hAnsi="宋体"/>
                <w:sz w:val="18"/>
              </w:rPr>
            </w:pPr>
          </w:p>
          <w:p>
            <w:pPr>
              <w:spacing w:line="240" w:lineRule="exact"/>
              <w:ind w:right="360"/>
              <w:jc w:val="center"/>
              <w:rPr>
                <w:rFonts w:ascii="宋体" w:hAnsi="宋体"/>
                <w:sz w:val="18"/>
              </w:rPr>
            </w:pPr>
            <w:r>
              <w:rPr>
                <w:rFonts w:hint="eastAsia" w:ascii="宋体" w:hAnsi="宋体"/>
                <w:sz w:val="18"/>
              </w:rPr>
              <w:t xml:space="preserve">   同上</w:t>
            </w:r>
          </w:p>
        </w:tc>
        <w:tc>
          <w:tcPr>
            <w:tcW w:w="1203" w:type="dxa"/>
            <w:tcBorders>
              <w:tl2br w:val="nil"/>
              <w:tr2bl w:val="nil"/>
            </w:tcBorders>
            <w:vAlign w:val="center"/>
          </w:tcPr>
          <w:p>
            <w:pPr>
              <w:spacing w:line="240" w:lineRule="exact"/>
              <w:ind w:firstLine="264" w:firstLineChars="147"/>
              <w:rPr>
                <w:rFonts w:ascii="宋体" w:hAnsi="宋体"/>
                <w:sz w:val="18"/>
              </w:rPr>
            </w:pPr>
            <w:r>
              <w:rPr>
                <w:rFonts w:hint="eastAsia" w:ascii="宋体" w:hAnsi="宋体"/>
                <w:sz w:val="18"/>
              </w:rPr>
              <w:t>同上</w:t>
            </w:r>
          </w:p>
        </w:tc>
        <w:tc>
          <w:tcPr>
            <w:tcW w:w="1680" w:type="dxa"/>
            <w:tcBorders>
              <w:tl2br w:val="nil"/>
              <w:tr2bl w:val="nil"/>
            </w:tcBorders>
            <w:vAlign w:val="center"/>
          </w:tcPr>
          <w:p>
            <w:pPr>
              <w:spacing w:line="240" w:lineRule="exact"/>
              <w:ind w:firstLine="529" w:firstLineChars="294"/>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22</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60" w:hRule="atLeast"/>
          <w:jc w:val="center"/>
        </w:trPr>
        <w:tc>
          <w:tcPr>
            <w:tcW w:w="1315" w:type="dxa"/>
            <w:tcBorders>
              <w:tl2br w:val="nil"/>
              <w:tr2bl w:val="nil"/>
            </w:tcBorders>
          </w:tcPr>
          <w:p>
            <w:pPr>
              <w:pStyle w:val="17"/>
              <w:spacing w:line="240" w:lineRule="exact"/>
              <w:rPr>
                <w:rFonts w:ascii="宋体" w:hAnsi="宋体"/>
                <w:sz w:val="18"/>
              </w:rPr>
            </w:pPr>
          </w:p>
          <w:p>
            <w:pPr>
              <w:pStyle w:val="17"/>
              <w:spacing w:line="240" w:lineRule="exact"/>
              <w:rPr>
                <w:rFonts w:ascii="宋体" w:hAnsi="宋体"/>
                <w:sz w:val="18"/>
              </w:rPr>
            </w:pPr>
            <w:r>
              <w:rPr>
                <w:rFonts w:hint="eastAsia" w:ascii="宋体" w:hAnsi="宋体"/>
                <w:sz w:val="18"/>
              </w:rPr>
              <w:t>FDIN6表</w:t>
            </w:r>
          </w:p>
        </w:tc>
        <w:tc>
          <w:tcPr>
            <w:tcW w:w="2102" w:type="dxa"/>
            <w:tcBorders>
              <w:tl2br w:val="nil"/>
              <w:tr2bl w:val="nil"/>
            </w:tcBorders>
          </w:tcPr>
          <w:p>
            <w:pPr>
              <w:spacing w:line="240" w:lineRule="exact"/>
              <w:rPr>
                <w:rFonts w:ascii="宋体" w:hAnsi="宋体"/>
                <w:sz w:val="18"/>
              </w:rPr>
            </w:pPr>
            <w:r>
              <w:rPr>
                <w:rFonts w:hint="eastAsia" w:ascii="宋体" w:hAnsi="宋体"/>
                <w:sz w:val="18"/>
              </w:rPr>
              <w:t>境内投资者通过境外企业再投资情况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pStyle w:val="17"/>
              <w:spacing w:line="240" w:lineRule="exact"/>
              <w:jc w:val="left"/>
              <w:rPr>
                <w:rFonts w:ascii="宋体" w:hAnsi="宋体"/>
                <w:sz w:val="18"/>
              </w:rPr>
            </w:pPr>
            <w:r>
              <w:rPr>
                <w:rFonts w:hint="eastAsia" w:ascii="宋体" w:hAnsi="宋体"/>
                <w:sz w:val="18"/>
              </w:rPr>
              <w:t>FDIN7表</w:t>
            </w:r>
          </w:p>
        </w:tc>
        <w:tc>
          <w:tcPr>
            <w:tcW w:w="2102" w:type="dxa"/>
            <w:tcBorders>
              <w:tl2br w:val="nil"/>
              <w:tr2bl w:val="nil"/>
            </w:tcBorders>
            <w:vAlign w:val="center"/>
          </w:tcPr>
          <w:p>
            <w:pPr>
              <w:spacing w:line="240" w:lineRule="exact"/>
              <w:rPr>
                <w:rFonts w:ascii="宋体" w:hAnsi="宋体"/>
                <w:sz w:val="18"/>
              </w:rPr>
            </w:pPr>
            <w:r>
              <w:rPr>
                <w:rFonts w:hint="eastAsia" w:ascii="宋体" w:hAnsi="宋体"/>
                <w:sz w:val="18"/>
              </w:rPr>
              <w:t>境外主要矿产资源情况</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center"/>
          </w:tcPr>
          <w:p>
            <w:pPr>
              <w:spacing w:line="240" w:lineRule="exact"/>
              <w:ind w:right="360"/>
              <w:jc w:val="center"/>
              <w:rPr>
                <w:rFonts w:ascii="宋体" w:hAnsi="宋体"/>
                <w:sz w:val="18"/>
              </w:rPr>
            </w:pPr>
            <w:r>
              <w:rPr>
                <w:rFonts w:hint="eastAsia" w:ascii="宋体" w:hAnsi="宋体"/>
                <w:sz w:val="18"/>
              </w:rPr>
              <w:t xml:space="preserve">   同上</w:t>
            </w:r>
          </w:p>
        </w:tc>
        <w:tc>
          <w:tcPr>
            <w:tcW w:w="1203"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24</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pStyle w:val="17"/>
              <w:spacing w:line="240" w:lineRule="exact"/>
              <w:jc w:val="left"/>
              <w:rPr>
                <w:rFonts w:ascii="宋体" w:hAnsi="宋体"/>
                <w:bCs/>
                <w:sz w:val="18"/>
              </w:rPr>
            </w:pPr>
            <w:r>
              <w:rPr>
                <w:rFonts w:hint="eastAsia" w:ascii="宋体" w:hAnsi="宋体"/>
                <w:bCs/>
                <w:sz w:val="18"/>
              </w:rPr>
              <w:t>FDIN8表</w:t>
            </w:r>
          </w:p>
        </w:tc>
        <w:tc>
          <w:tcPr>
            <w:tcW w:w="2102" w:type="dxa"/>
            <w:tcBorders>
              <w:tl2br w:val="nil"/>
              <w:tr2bl w:val="nil"/>
            </w:tcBorders>
            <w:vAlign w:val="center"/>
          </w:tcPr>
          <w:p>
            <w:pPr>
              <w:spacing w:line="240" w:lineRule="exact"/>
              <w:rPr>
                <w:rFonts w:ascii="宋体" w:hAnsi="宋体"/>
                <w:bCs/>
                <w:sz w:val="18"/>
              </w:rPr>
            </w:pPr>
            <w:r>
              <w:rPr>
                <w:rFonts w:hint="eastAsia" w:ascii="宋体" w:hAnsi="宋体"/>
                <w:bCs/>
                <w:sz w:val="18"/>
              </w:rPr>
              <w:t>主要国际产能合作领域情况</w:t>
            </w:r>
          </w:p>
        </w:tc>
        <w:tc>
          <w:tcPr>
            <w:tcW w:w="720" w:type="dxa"/>
            <w:gridSpan w:val="2"/>
            <w:tcBorders>
              <w:tl2br w:val="nil"/>
              <w:tr2bl w:val="nil"/>
            </w:tcBorders>
            <w:vAlign w:val="center"/>
          </w:tcPr>
          <w:p>
            <w:pPr>
              <w:spacing w:line="240" w:lineRule="exact"/>
              <w:jc w:val="center"/>
              <w:rPr>
                <w:rFonts w:ascii="宋体" w:hAnsi="宋体"/>
                <w:bCs/>
                <w:sz w:val="18"/>
              </w:rPr>
            </w:pPr>
            <w:r>
              <w:rPr>
                <w:rFonts w:hint="eastAsia" w:ascii="宋体" w:hAnsi="宋体"/>
                <w:bCs/>
                <w:sz w:val="18"/>
              </w:rPr>
              <w:t>年报</w:t>
            </w:r>
          </w:p>
        </w:tc>
        <w:tc>
          <w:tcPr>
            <w:tcW w:w="1856" w:type="dxa"/>
            <w:gridSpan w:val="2"/>
            <w:tcBorders>
              <w:tl2br w:val="nil"/>
              <w:tr2bl w:val="nil"/>
            </w:tcBorders>
            <w:vAlign w:val="center"/>
          </w:tcPr>
          <w:p>
            <w:pPr>
              <w:spacing w:line="240" w:lineRule="exact"/>
              <w:ind w:right="360"/>
              <w:jc w:val="center"/>
              <w:rPr>
                <w:rFonts w:ascii="宋体" w:hAnsi="宋体"/>
                <w:bCs/>
                <w:sz w:val="18"/>
              </w:rPr>
            </w:pPr>
            <w:r>
              <w:rPr>
                <w:rFonts w:hint="eastAsia" w:ascii="宋体" w:hAnsi="宋体"/>
                <w:bCs/>
                <w:sz w:val="18"/>
              </w:rPr>
              <w:t>同上</w:t>
            </w:r>
          </w:p>
        </w:tc>
        <w:tc>
          <w:tcPr>
            <w:tcW w:w="1203"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68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25</w:t>
            </w:r>
          </w:p>
        </w:tc>
      </w:tr>
    </w:tbl>
    <w:p>
      <w:pPr>
        <w:spacing w:line="240" w:lineRule="exact"/>
        <w:rPr>
          <w:bCs/>
        </w:rPr>
      </w:pPr>
    </w:p>
    <w:p>
      <w:pPr>
        <w:spacing w:line="240" w:lineRule="exact"/>
        <w:rPr>
          <w:bCs/>
        </w:rPr>
      </w:pPr>
    </w:p>
    <w:p>
      <w:pPr>
        <w:spacing w:line="240" w:lineRule="exact"/>
        <w:rPr>
          <w:bCs/>
        </w:rPr>
      </w:pPr>
    </w:p>
    <w:p>
      <w:pPr>
        <w:spacing w:line="240" w:lineRule="exact"/>
        <w:rPr>
          <w:bCs/>
        </w:rPr>
      </w:pPr>
      <w:r>
        <w:rPr>
          <w:rFonts w:hint="eastAsia"/>
          <w:bCs/>
        </w:rPr>
        <w:t>（续表）</w:t>
      </w:r>
    </w:p>
    <w:tbl>
      <w:tblPr>
        <w:tblStyle w:val="11"/>
        <w:tblW w:w="9629" w:type="dxa"/>
        <w:tblInd w:w="-17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20"/>
        <w:gridCol w:w="2103"/>
        <w:gridCol w:w="720"/>
        <w:gridCol w:w="1980"/>
        <w:gridCol w:w="900"/>
        <w:gridCol w:w="1857"/>
        <w:gridCol w:w="6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pStyle w:val="17"/>
              <w:spacing w:line="240" w:lineRule="exact"/>
              <w:jc w:val="left"/>
              <w:rPr>
                <w:rFonts w:ascii="宋体" w:hAnsi="宋体"/>
                <w:bCs/>
                <w:sz w:val="18"/>
              </w:rPr>
            </w:pPr>
            <w:r>
              <w:rPr>
                <w:rFonts w:hint="eastAsia" w:ascii="宋体" w:hAnsi="宋体"/>
                <w:bCs/>
                <w:sz w:val="18"/>
              </w:rPr>
              <w:t>FDIY1表</w:t>
            </w:r>
          </w:p>
        </w:tc>
        <w:tc>
          <w:tcPr>
            <w:tcW w:w="2103" w:type="dxa"/>
            <w:tcBorders>
              <w:tl2br w:val="nil"/>
              <w:tr2bl w:val="nil"/>
            </w:tcBorders>
            <w:vAlign w:val="center"/>
          </w:tcPr>
          <w:p>
            <w:pPr>
              <w:spacing w:line="240" w:lineRule="exact"/>
              <w:jc w:val="center"/>
              <w:rPr>
                <w:bCs/>
                <w:sz w:val="24"/>
              </w:rPr>
            </w:pPr>
            <w:r>
              <w:rPr>
                <w:rFonts w:hint="eastAsia" w:ascii="宋体" w:hAnsi="宋体"/>
                <w:bCs/>
                <w:sz w:val="18"/>
              </w:rPr>
              <w:t>对外直接投资月度情况（按出资方式分组）</w:t>
            </w:r>
          </w:p>
        </w:tc>
        <w:tc>
          <w:tcPr>
            <w:tcW w:w="720" w:type="dxa"/>
            <w:tcBorders>
              <w:tl2br w:val="nil"/>
              <w:tr2bl w:val="nil"/>
            </w:tcBorders>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980" w:type="dxa"/>
            <w:tcBorders>
              <w:tl2br w:val="nil"/>
              <w:tr2bl w:val="nil"/>
            </w:tcBorders>
            <w:vAlign w:val="center"/>
          </w:tcPr>
          <w:p>
            <w:pPr>
              <w:spacing w:line="240" w:lineRule="exact"/>
              <w:ind w:right="360"/>
              <w:jc w:val="center"/>
              <w:rPr>
                <w:bCs/>
                <w:sz w:val="18"/>
                <w:szCs w:val="18"/>
              </w:rPr>
            </w:pPr>
            <w:r>
              <w:rPr>
                <w:rFonts w:hint="eastAsia"/>
                <w:bCs/>
                <w:sz w:val="18"/>
                <w:szCs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bCs/>
                <w:sz w:val="24"/>
              </w:rPr>
            </w:pPr>
            <w:r>
              <w:rPr>
                <w:rFonts w:hint="eastAsia" w:ascii="宋体" w:hAnsi="宋体"/>
                <w:bCs/>
                <w:sz w:val="18"/>
              </w:rPr>
              <w:t>月后10日前报省级商务主管部门或商务部，网络传输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pStyle w:val="17"/>
              <w:spacing w:line="240" w:lineRule="exact"/>
              <w:jc w:val="left"/>
              <w:rPr>
                <w:rFonts w:ascii="宋体" w:hAnsi="宋体"/>
                <w:bCs/>
                <w:sz w:val="18"/>
              </w:rPr>
            </w:pPr>
            <w:r>
              <w:rPr>
                <w:rFonts w:hint="eastAsia" w:ascii="宋体" w:hAnsi="宋体"/>
                <w:bCs/>
                <w:sz w:val="18"/>
              </w:rPr>
              <w:t>FDIY2表</w:t>
            </w:r>
          </w:p>
        </w:tc>
        <w:tc>
          <w:tcPr>
            <w:tcW w:w="2103"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对外直接投资月度情况</w:t>
            </w:r>
          </w:p>
          <w:p>
            <w:pPr>
              <w:spacing w:line="240" w:lineRule="exact"/>
              <w:jc w:val="center"/>
              <w:rPr>
                <w:bCs/>
                <w:sz w:val="24"/>
              </w:rPr>
            </w:pPr>
            <w:r>
              <w:rPr>
                <w:rFonts w:hint="eastAsia" w:ascii="宋体" w:hAnsi="宋体"/>
                <w:bCs/>
                <w:sz w:val="18"/>
              </w:rPr>
              <w:t>（按投资构成分组）</w:t>
            </w:r>
          </w:p>
        </w:tc>
        <w:tc>
          <w:tcPr>
            <w:tcW w:w="720" w:type="dxa"/>
            <w:tcBorders>
              <w:tl2br w:val="nil"/>
              <w:tr2bl w:val="nil"/>
            </w:tcBorders>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980" w:type="dxa"/>
            <w:tcBorders>
              <w:tl2br w:val="nil"/>
              <w:tr2bl w:val="nil"/>
            </w:tcBorders>
            <w:vAlign w:val="center"/>
          </w:tcPr>
          <w:p>
            <w:pPr>
              <w:spacing w:line="240" w:lineRule="exact"/>
              <w:ind w:right="360"/>
              <w:jc w:val="center"/>
              <w:rPr>
                <w:bCs/>
                <w:sz w:val="18"/>
                <w:szCs w:val="18"/>
              </w:rPr>
            </w:pPr>
            <w:r>
              <w:rPr>
                <w:rFonts w:hint="eastAsia"/>
                <w:bCs/>
                <w:sz w:val="18"/>
                <w:szCs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FDIY3表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对外投资并购基本事项</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bCs/>
                <w:sz w:val="24"/>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bCs/>
                <w:sz w:val="18"/>
                <w:szCs w:val="18"/>
              </w:rPr>
            </w:pPr>
            <w:r>
              <w:rPr>
                <w:rFonts w:hint="eastAsia" w:ascii="宋体" w:hAnsi="宋体"/>
                <w:bCs/>
                <w:sz w:val="18"/>
                <w:szCs w:val="18"/>
              </w:rPr>
              <w:t>29</w:t>
            </w:r>
          </w:p>
        </w:tc>
      </w:tr>
      <w:tr>
        <w:tblPrEx>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FDIY4表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农业对外投资合作情况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FDIY5表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境外经济贸易合作区情况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FDIY6表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境外企业再投资月度情况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月后15日前报省级商务主管部门或商务部，网络传输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FDIY7表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对外投资带动货物进出口情况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月后15日前报省级商务主管部门或商务部，网络传输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33</w:t>
            </w:r>
          </w:p>
        </w:tc>
      </w:tr>
    </w:tbl>
    <w:p/>
    <w:p/>
    <w:p/>
    <w:p/>
    <w:p/>
    <w:p/>
    <w:p/>
    <w:p/>
    <w:p/>
    <w:p/>
    <w:p/>
    <w:p/>
    <w:p/>
    <w:p/>
    <w:p/>
    <w:p/>
    <w:p/>
    <w:p/>
    <w:p/>
    <w:p/>
    <w:p/>
    <w:p/>
    <w:p>
      <w:pPr>
        <w:jc w:val="center"/>
        <w:rPr>
          <w:rFonts w:hint="eastAsia" w:ascii="黑体" w:hAnsi="宋体" w:eastAsia="黑体"/>
          <w:sz w:val="32"/>
          <w:szCs w:val="32"/>
        </w:rPr>
      </w:pPr>
      <w:bookmarkStart w:id="0" w:name="OLE_LINK2"/>
      <w:r>
        <w:rPr>
          <w:rFonts w:hint="eastAsia" w:ascii="黑体" w:hAnsi="宋体" w:eastAsia="黑体"/>
          <w:sz w:val="32"/>
          <w:szCs w:val="32"/>
        </w:rPr>
        <w:br w:type="page"/>
      </w:r>
    </w:p>
    <w:p>
      <w:pPr>
        <w:jc w:val="center"/>
        <w:rPr>
          <w:rFonts w:ascii="黑体" w:hAnsi="宋体" w:eastAsia="黑体"/>
          <w:sz w:val="32"/>
          <w:szCs w:val="32"/>
        </w:rPr>
      </w:pPr>
      <w:r>
        <w:rPr>
          <w:rFonts w:hint="eastAsia" w:ascii="黑体" w:hAnsi="宋体" w:eastAsia="黑体"/>
          <w:sz w:val="32"/>
          <w:szCs w:val="32"/>
        </w:rPr>
        <w:t>三、调 查 表 式</w:t>
      </w:r>
    </w:p>
    <w:p>
      <w:pPr>
        <w:pStyle w:val="16"/>
        <w:rPr>
          <w:rFonts w:ascii="宋体" w:hAnsi="宋体" w:eastAsia="宋体"/>
          <w:b w:val="0"/>
          <w:bCs/>
          <w:sz w:val="18"/>
        </w:rPr>
      </w:pPr>
    </w:p>
    <w:bookmarkEnd w:id="0"/>
    <w:p>
      <w:pPr>
        <w:jc w:val="center"/>
        <w:rPr>
          <w:rFonts w:ascii="宋体" w:hAnsi="宋体"/>
          <w:b/>
          <w:bCs/>
          <w:sz w:val="32"/>
          <w:szCs w:val="32"/>
        </w:rPr>
      </w:pPr>
      <w:r>
        <w:rPr>
          <w:rFonts w:hint="eastAsia" w:ascii="宋体" w:hAnsi="宋体"/>
          <w:b/>
          <w:bCs/>
          <w:sz w:val="32"/>
          <w:szCs w:val="32"/>
        </w:rPr>
        <w:t>（一）综合报表</w:t>
      </w:r>
    </w:p>
    <w:p>
      <w:pPr>
        <w:jc w:val="center"/>
        <w:rPr>
          <w:rFonts w:ascii="宋体" w:hAnsi="宋体"/>
          <w:b/>
          <w:bCs/>
          <w:sz w:val="32"/>
          <w:szCs w:val="32"/>
        </w:rPr>
      </w:pPr>
      <w:r>
        <w:rPr>
          <w:rFonts w:hint="eastAsia" w:ascii="宋体" w:hAnsi="宋体"/>
          <w:b/>
          <w:bCs/>
          <w:sz w:val="32"/>
          <w:szCs w:val="32"/>
        </w:rPr>
        <w:t>金融业境内投资者对外直接投资流量和存量</w:t>
      </w:r>
    </w:p>
    <w:p>
      <w:pPr>
        <w:jc w:val="center"/>
        <w:rPr>
          <w:rFonts w:ascii="宋体" w:hAnsi="宋体"/>
          <w:b/>
          <w:bCs/>
          <w:sz w:val="28"/>
          <w:szCs w:val="28"/>
        </w:rPr>
      </w:pPr>
      <w:r>
        <w:rPr>
          <w:rFonts w:hint="eastAsia" w:ascii="宋体" w:hAnsi="宋体"/>
          <w:b/>
          <w:bCs/>
          <w:sz w:val="28"/>
          <w:szCs w:val="28"/>
        </w:rPr>
        <w:t>（按国别地区分组）</w:t>
      </w:r>
    </w:p>
    <w:tbl>
      <w:tblPr>
        <w:tblStyle w:val="11"/>
        <w:tblW w:w="9302" w:type="dxa"/>
        <w:tblInd w:w="93" w:type="dxa"/>
        <w:tblLayout w:type="fixed"/>
        <w:tblCellMar>
          <w:top w:w="0" w:type="dxa"/>
          <w:left w:w="108" w:type="dxa"/>
          <w:bottom w:w="0" w:type="dxa"/>
          <w:right w:w="108" w:type="dxa"/>
        </w:tblCellMar>
      </w:tblPr>
      <w:tblGrid>
        <w:gridCol w:w="5500"/>
        <w:gridCol w:w="3802"/>
      </w:tblGrid>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号：FDI金融N1表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shd w:val="clear" w:color="auto" w:fill="auto"/>
            <w:noWrap/>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6"/>
        <w:tabs>
          <w:tab w:val="left" w:pos="5760"/>
          <w:tab w:val="left" w:pos="5940"/>
        </w:tabs>
        <w:ind w:left="176" w:hanging="176" w:hangingChars="98"/>
        <w:rPr>
          <w:rFonts w:ascii="宋体" w:hAnsi="宋体" w:eastAsia="宋体"/>
          <w:b w:val="0"/>
          <w:sz w:val="18"/>
          <w:szCs w:val="18"/>
        </w:rPr>
      </w:pPr>
      <w:r>
        <w:rPr>
          <w:rFonts w:hint="eastAsia" w:ascii="宋体" w:hAnsi="宋体" w:eastAsia="宋体"/>
          <w:b w:val="0"/>
          <w:sz w:val="18"/>
          <w:szCs w:val="18"/>
        </w:rPr>
        <w:t xml:space="preserve">综合机关：国家外汇管理局              2 0　　　年　　　　         计量单位：万美元 、 家   </w:t>
      </w:r>
    </w:p>
    <w:tbl>
      <w:tblPr>
        <w:tblStyle w:val="11"/>
        <w:tblW w:w="9364" w:type="dxa"/>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080"/>
        <w:gridCol w:w="1097"/>
        <w:gridCol w:w="1080"/>
        <w:gridCol w:w="1080"/>
        <w:gridCol w:w="1080"/>
        <w:gridCol w:w="1080"/>
        <w:gridCol w:w="106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0" w:hRule="atLeast"/>
        </w:trPr>
        <w:tc>
          <w:tcPr>
            <w:tcW w:w="1800" w:type="dxa"/>
            <w:vMerge w:val="restart"/>
            <w:tcBorders>
              <w:bottom w:val="single" w:color="auto" w:sz="2" w:space="0"/>
              <w:right w:val="single" w:color="auto" w:sz="2" w:space="0"/>
            </w:tcBorders>
          </w:tcPr>
          <w:p>
            <w:pPr>
              <w:rPr>
                <w:sz w:val="18"/>
                <w:szCs w:val="18"/>
              </w:rPr>
            </w:pPr>
          </w:p>
        </w:tc>
        <w:tc>
          <w:tcPr>
            <w:tcW w:w="1080" w:type="dxa"/>
            <w:vMerge w:val="restart"/>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境外企业家数</w:t>
            </w:r>
          </w:p>
        </w:tc>
        <w:tc>
          <w:tcPr>
            <w:tcW w:w="3257" w:type="dxa"/>
            <w:gridSpan w:val="3"/>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sz w:val="18"/>
                <w:szCs w:val="18"/>
              </w:rPr>
              <w:t>当年流量</w:t>
            </w:r>
          </w:p>
        </w:tc>
        <w:tc>
          <w:tcPr>
            <w:tcW w:w="3227" w:type="dxa"/>
            <w:gridSpan w:val="3"/>
            <w:tcBorders>
              <w:left w:val="single" w:color="auto" w:sz="2" w:space="0"/>
              <w:bottom w:val="single" w:color="auto" w:sz="2" w:space="0"/>
            </w:tcBorders>
            <w:vAlign w:val="center"/>
          </w:tcPr>
          <w:p>
            <w:pPr>
              <w:jc w:val="center"/>
              <w:rPr>
                <w:rFonts w:ascii="宋体" w:hAnsi="宋体"/>
                <w:sz w:val="18"/>
                <w:szCs w:val="18"/>
              </w:rPr>
            </w:pPr>
            <w:r>
              <w:rPr>
                <w:rFonts w:hint="eastAsia"/>
                <w:sz w:val="18"/>
                <w:szCs w:val="18"/>
              </w:rPr>
              <w:t>年末存量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rPr>
        <w:tc>
          <w:tcPr>
            <w:tcW w:w="1800" w:type="dxa"/>
            <w:vMerge w:val="continue"/>
            <w:tcBorders>
              <w:top w:val="single" w:color="auto" w:sz="2" w:space="0"/>
              <w:bottom w:val="single" w:color="auto" w:sz="2" w:space="0"/>
              <w:right w:val="single" w:color="auto" w:sz="2" w:space="0"/>
            </w:tcBorders>
            <w:vAlign w:val="center"/>
          </w:tcPr>
          <w:p>
            <w:pPr>
              <w:widowControl/>
              <w:jc w:val="left"/>
              <w:rPr>
                <w:sz w:val="18"/>
                <w:szCs w:val="18"/>
              </w:rPr>
            </w:pP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97"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sz w:val="18"/>
                <w:szCs w:val="18"/>
              </w:rPr>
              <w:t>总额</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宋体" w:hAnsi="宋体"/>
                <w:sz w:val="18"/>
                <w:szCs w:val="18"/>
              </w:rPr>
            </w:pPr>
          </w:p>
        </w:tc>
        <w:tc>
          <w:tcPr>
            <w:tcW w:w="108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sz w:val="18"/>
                <w:szCs w:val="18"/>
              </w:rPr>
              <w:t>总额</w:t>
            </w:r>
          </w:p>
        </w:tc>
        <w:tc>
          <w:tcPr>
            <w:tcW w:w="2147" w:type="dxa"/>
            <w:gridSpan w:val="2"/>
            <w:tcBorders>
              <w:top w:val="single" w:color="auto" w:sz="2" w:space="0"/>
              <w:left w:val="nil"/>
              <w:bottom w:val="single" w:color="auto" w:sz="2" w:space="0"/>
            </w:tcBorders>
            <w:vAlign w:val="center"/>
          </w:tcPr>
          <w:p>
            <w:pPr>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trPr>
        <w:tc>
          <w:tcPr>
            <w:tcW w:w="1800" w:type="dxa"/>
            <w:vMerge w:val="continue"/>
            <w:tcBorders>
              <w:top w:val="single" w:color="auto" w:sz="2" w:space="0"/>
              <w:bottom w:val="single" w:color="auto" w:sz="2" w:space="0"/>
              <w:right w:val="single" w:color="auto" w:sz="2" w:space="0"/>
            </w:tcBorders>
            <w:vAlign w:val="center"/>
          </w:tcPr>
          <w:p>
            <w:pPr>
              <w:widowControl/>
              <w:jc w:val="left"/>
              <w:rPr>
                <w:sz w:val="18"/>
                <w:szCs w:val="18"/>
              </w:rPr>
            </w:pP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新增</w:t>
            </w:r>
          </w:p>
          <w:p>
            <w:pPr>
              <w:jc w:val="center"/>
              <w:rPr>
                <w:sz w:val="18"/>
                <w:szCs w:val="18"/>
              </w:rPr>
            </w:pPr>
            <w:r>
              <w:rPr>
                <w:rFonts w:hint="eastAsia"/>
                <w:sz w:val="18"/>
                <w:szCs w:val="18"/>
              </w:rPr>
              <w:t>股权</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当期收益再投资</w:t>
            </w: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股权</w:t>
            </w:r>
          </w:p>
        </w:tc>
        <w:tc>
          <w:tcPr>
            <w:tcW w:w="1067" w:type="dxa"/>
            <w:tcBorders>
              <w:top w:val="single" w:color="auto" w:sz="2" w:space="0"/>
              <w:left w:val="single" w:color="auto" w:sz="2" w:space="0"/>
              <w:bottom w:val="single" w:color="auto" w:sz="2" w:space="0"/>
            </w:tcBorders>
            <w:vAlign w:val="center"/>
          </w:tcPr>
          <w:p>
            <w:pPr>
              <w:jc w:val="center"/>
              <w:rPr>
                <w:sz w:val="18"/>
                <w:szCs w:val="18"/>
              </w:rPr>
            </w:pPr>
            <w:r>
              <w:rPr>
                <w:rFonts w:hint="eastAsia"/>
                <w:sz w:val="18"/>
                <w:szCs w:val="18"/>
              </w:rPr>
              <w:t>收益</w:t>
            </w:r>
          </w:p>
          <w:p>
            <w:pPr>
              <w:jc w:val="center"/>
              <w:rPr>
                <w:sz w:val="18"/>
                <w:szCs w:val="18"/>
              </w:rPr>
            </w:pPr>
            <w:r>
              <w:rPr>
                <w:rFonts w:hint="eastAsia"/>
                <w:sz w:val="18"/>
                <w:szCs w:val="18"/>
              </w:rPr>
              <w:t>再投资</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trPr>
        <w:tc>
          <w:tcPr>
            <w:tcW w:w="1800" w:type="dxa"/>
            <w:tcBorders>
              <w:top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甲</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1</w:t>
            </w:r>
          </w:p>
          <w:p>
            <w:pPr>
              <w:jc w:val="center"/>
              <w:rPr>
                <w:rFonts w:ascii="宋体" w:hAnsi="宋体"/>
                <w:sz w:val="18"/>
                <w:szCs w:val="18"/>
              </w:rPr>
            </w:pP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2</w:t>
            </w:r>
          </w:p>
          <w:p>
            <w:pPr>
              <w:jc w:val="center"/>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3</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4</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5</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6</w:t>
            </w:r>
          </w:p>
        </w:tc>
        <w:tc>
          <w:tcPr>
            <w:tcW w:w="1067" w:type="dxa"/>
            <w:tcBorders>
              <w:top w:val="single" w:color="auto" w:sz="2" w:space="0"/>
              <w:left w:val="single" w:color="auto" w:sz="2" w:space="0"/>
              <w:bottom w:val="single" w:color="auto" w:sz="2" w:space="0"/>
            </w:tcBorders>
            <w:vAlign w:val="center"/>
          </w:tcPr>
          <w:p>
            <w:pPr>
              <w:jc w:val="center"/>
              <w:rPr>
                <w:rFonts w:ascii="宋体" w:hAnsi="宋体"/>
                <w:sz w:val="18"/>
                <w:szCs w:val="18"/>
              </w:rPr>
            </w:pPr>
            <w:r>
              <w:rPr>
                <w:rFonts w:hint="eastAsia" w:ascii="宋体" w:hAnsi="宋体"/>
                <w:sz w:val="18"/>
                <w:szCs w:val="18"/>
              </w:rPr>
              <w:t>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61" w:hRule="atLeast"/>
        </w:trPr>
        <w:tc>
          <w:tcPr>
            <w:tcW w:w="1800" w:type="dxa"/>
            <w:tcBorders>
              <w:top w:val="single" w:color="auto" w:sz="2" w:space="0"/>
              <w:right w:val="single" w:color="auto" w:sz="2" w:space="0"/>
            </w:tcBorders>
          </w:tcPr>
          <w:p>
            <w:pPr>
              <w:rPr>
                <w:sz w:val="18"/>
                <w:szCs w:val="18"/>
              </w:rPr>
            </w:pPr>
          </w:p>
          <w:p>
            <w:pPr>
              <w:rPr>
                <w:sz w:val="18"/>
                <w:szCs w:val="18"/>
              </w:rPr>
            </w:pPr>
            <w:r>
              <w:rPr>
                <w:rFonts w:hint="eastAsia"/>
                <w:sz w:val="18"/>
                <w:szCs w:val="18"/>
              </w:rPr>
              <w:t>合计</w:t>
            </w:r>
          </w:p>
          <w:p>
            <w:pPr>
              <w:rPr>
                <w:sz w:val="18"/>
                <w:szCs w:val="18"/>
              </w:rPr>
            </w:pPr>
            <w:r>
              <w:rPr>
                <w:rFonts w:hint="eastAsia"/>
                <w:sz w:val="18"/>
                <w:szCs w:val="18"/>
              </w:rPr>
              <w:t>一、金融业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rPr>
                <w:sz w:val="18"/>
                <w:szCs w:val="18"/>
              </w:rPr>
            </w:pPr>
          </w:p>
          <w:p>
            <w:pPr>
              <w:numPr>
                <w:ilvl w:val="0"/>
                <w:numId w:val="3"/>
              </w:numPr>
              <w:rPr>
                <w:sz w:val="18"/>
                <w:szCs w:val="18"/>
              </w:rPr>
            </w:pPr>
            <w:r>
              <w:rPr>
                <w:rFonts w:hint="eastAsia"/>
                <w:sz w:val="18"/>
                <w:szCs w:val="18"/>
              </w:rPr>
              <w:t>非金融业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ind w:firstLine="90"/>
              <w:rPr>
                <w:sz w:val="18"/>
                <w:szCs w:val="18"/>
              </w:rPr>
            </w:pPr>
          </w:p>
        </w:tc>
        <w:tc>
          <w:tcPr>
            <w:tcW w:w="7564" w:type="dxa"/>
            <w:gridSpan w:val="7"/>
            <w:tcBorders>
              <w:top w:val="single" w:color="auto" w:sz="2" w:space="0"/>
              <w:left w:val="single" w:color="auto" w:sz="2" w:space="0"/>
            </w:tcBorders>
          </w:tcPr>
          <w:p>
            <w:pPr>
              <w:rPr>
                <w:sz w:val="18"/>
                <w:szCs w:val="18"/>
              </w:rPr>
            </w:pPr>
          </w:p>
        </w:tc>
      </w:tr>
    </w:tbl>
    <w:p>
      <w:pPr>
        <w:rPr>
          <w:rFonts w:ascii="宋体" w:hAnsi="宋体"/>
          <w:sz w:val="18"/>
          <w:szCs w:val="18"/>
        </w:rPr>
      </w:pPr>
      <w:r>
        <w:rPr>
          <w:rFonts w:hint="eastAsia" w:ascii="宋体" w:hAnsi="宋体"/>
          <w:sz w:val="18"/>
          <w:szCs w:val="18"/>
        </w:rPr>
        <w:t>填报人：　　　　　　单位负责人：　　　　　　　联系电话：　　    　报出日期：2 0  　年　月　日　　</w:t>
      </w:r>
    </w:p>
    <w:p>
      <w:pPr>
        <w:rPr>
          <w:rFonts w:ascii="宋体" w:hAnsi="宋体"/>
          <w:sz w:val="18"/>
          <w:szCs w:val="18"/>
        </w:rPr>
      </w:pPr>
      <w:r>
        <w:rPr>
          <w:rFonts w:hint="eastAsia" w:ascii="宋体" w:hAnsi="宋体"/>
          <w:sz w:val="18"/>
          <w:szCs w:val="18"/>
        </w:rPr>
        <w:t>说明：1.本表综合反映报告年度我国金融业</w:t>
      </w:r>
      <w:r>
        <w:rPr>
          <w:rFonts w:hint="eastAsia" w:ascii="宋体"/>
          <w:sz w:val="18"/>
          <w:szCs w:val="18"/>
        </w:rPr>
        <w:t>（包括银行业、证券业、保险业等）</w:t>
      </w:r>
      <w:r>
        <w:rPr>
          <w:rFonts w:hint="eastAsia" w:ascii="宋体" w:hAnsi="宋体"/>
          <w:sz w:val="18"/>
          <w:szCs w:val="18"/>
        </w:rPr>
        <w:t>对外直接投资的国家地区分布情况。</w:t>
      </w:r>
    </w:p>
    <w:p>
      <w:pPr>
        <w:ind w:firstLine="540"/>
        <w:rPr>
          <w:rFonts w:hAnsi="宋体"/>
          <w:sz w:val="18"/>
          <w:szCs w:val="18"/>
        </w:rPr>
      </w:pPr>
      <w:r>
        <w:rPr>
          <w:rFonts w:hint="eastAsia" w:ascii="宋体" w:hAnsi="宋体"/>
          <w:sz w:val="18"/>
          <w:szCs w:val="18"/>
        </w:rPr>
        <w:t>2.</w:t>
      </w:r>
      <w:r>
        <w:rPr>
          <w:rFonts w:hint="eastAsia" w:hAnsi="宋体"/>
          <w:sz w:val="18"/>
          <w:szCs w:val="18"/>
        </w:rPr>
        <w:t>本表由国家外汇管理局于年后</w:t>
      </w:r>
      <w:r>
        <w:rPr>
          <w:rFonts w:hAnsi="宋体"/>
          <w:sz w:val="18"/>
          <w:szCs w:val="18"/>
        </w:rPr>
        <w:t>7</w:t>
      </w:r>
      <w:r>
        <w:rPr>
          <w:rFonts w:hint="eastAsia" w:hAnsi="宋体"/>
          <w:sz w:val="18"/>
          <w:szCs w:val="18"/>
        </w:rPr>
        <w:t>月</w:t>
      </w:r>
      <w:r>
        <w:rPr>
          <w:rFonts w:hAnsi="宋体"/>
          <w:sz w:val="18"/>
          <w:szCs w:val="18"/>
        </w:rPr>
        <w:t>20</w:t>
      </w:r>
      <w:r>
        <w:rPr>
          <w:rFonts w:hint="eastAsia" w:hAnsi="宋体"/>
          <w:sz w:val="18"/>
          <w:szCs w:val="18"/>
        </w:rPr>
        <w:t>日前向商务部提供。</w:t>
      </w:r>
    </w:p>
    <w:p>
      <w:pPr>
        <w:ind w:firstLine="540"/>
        <w:rPr>
          <w:b/>
          <w:sz w:val="18"/>
        </w:rPr>
      </w:pPr>
      <w:r>
        <w:rPr>
          <w:rFonts w:hint="eastAsia" w:ascii="宋体" w:hAnsi="宋体"/>
          <w:sz w:val="18"/>
          <w:szCs w:val="18"/>
        </w:rPr>
        <w:t>3.</w:t>
      </w:r>
      <w:r>
        <w:rPr>
          <w:rFonts w:hint="eastAsia"/>
          <w:sz w:val="18"/>
          <w:szCs w:val="18"/>
        </w:rPr>
        <w:t>国家（地区）代码见附录四。</w:t>
      </w:r>
    </w:p>
    <w:p>
      <w:pPr>
        <w:ind w:firstLine="540"/>
        <w:rPr>
          <w:sz w:val="18"/>
        </w:rPr>
      </w:pPr>
    </w:p>
    <w:p>
      <w:pPr>
        <w:ind w:firstLine="540"/>
        <w:rPr>
          <w:sz w:val="18"/>
        </w:rPr>
      </w:pPr>
    </w:p>
    <w:p>
      <w:pPr>
        <w:jc w:val="center"/>
        <w:rPr>
          <w:rFonts w:ascii="宋体" w:hAnsi="宋体"/>
          <w:b/>
          <w:bCs/>
          <w:sz w:val="32"/>
        </w:rPr>
      </w:pPr>
      <w:r>
        <w:rPr>
          <w:rFonts w:hint="eastAsia" w:ascii="宋体" w:hAnsi="宋体"/>
          <w:b/>
          <w:bCs/>
          <w:sz w:val="32"/>
        </w:rPr>
        <w:t>金融业境内投资者对外直接投资流量和存量</w:t>
      </w:r>
    </w:p>
    <w:p>
      <w:pPr>
        <w:jc w:val="center"/>
        <w:rPr>
          <w:rFonts w:ascii="宋体" w:hAnsi="宋体"/>
          <w:b/>
          <w:bCs/>
          <w:sz w:val="28"/>
          <w:szCs w:val="28"/>
        </w:rPr>
      </w:pPr>
      <w:r>
        <w:rPr>
          <w:rFonts w:hint="eastAsia" w:ascii="宋体" w:hAnsi="宋体"/>
          <w:b/>
          <w:bCs/>
          <w:sz w:val="28"/>
          <w:szCs w:val="28"/>
        </w:rPr>
        <w:t>（按国民经济经济行业分组）</w:t>
      </w:r>
    </w:p>
    <w:tbl>
      <w:tblPr>
        <w:tblStyle w:val="11"/>
        <w:tblW w:w="9407" w:type="dxa"/>
        <w:tblInd w:w="93" w:type="dxa"/>
        <w:tblLayout w:type="fixed"/>
        <w:tblCellMar>
          <w:top w:w="0" w:type="dxa"/>
          <w:left w:w="108" w:type="dxa"/>
          <w:bottom w:w="0" w:type="dxa"/>
          <w:right w:w="108" w:type="dxa"/>
        </w:tblCellMar>
      </w:tblPr>
      <w:tblGrid>
        <w:gridCol w:w="5897"/>
        <w:gridCol w:w="3510"/>
      </w:tblGrid>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号：FDI金融N2表</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6"/>
        <w:rPr>
          <w:rFonts w:ascii="宋体" w:hAnsi="宋体" w:eastAsia="宋体"/>
          <w:b w:val="0"/>
          <w:sz w:val="18"/>
        </w:rPr>
      </w:pPr>
      <w:r>
        <w:rPr>
          <w:rFonts w:hint="eastAsia" w:ascii="宋体" w:hAnsi="宋体" w:eastAsia="宋体"/>
          <w:b w:val="0"/>
          <w:sz w:val="18"/>
        </w:rPr>
        <w:t xml:space="preserve">综合机关：国家外汇管理局                   2 0　　　年　        　计量单位：万美元 </w:t>
      </w:r>
    </w:p>
    <w:tbl>
      <w:tblPr>
        <w:tblStyle w:val="11"/>
        <w:tblW w:w="9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2"/>
        <w:gridCol w:w="900"/>
        <w:gridCol w:w="1172"/>
        <w:gridCol w:w="1260"/>
        <w:gridCol w:w="100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40" w:type="dxa"/>
            <w:vMerge w:val="restart"/>
            <w:tcBorders>
              <w:top w:val="single" w:color="auto" w:sz="8" w:space="0"/>
              <w:left w:val="nil"/>
              <w:bottom w:val="single" w:color="auto" w:sz="2" w:space="0"/>
              <w:right w:val="single" w:color="auto" w:sz="2" w:space="0"/>
              <w:tl2br w:val="single" w:color="auto" w:sz="2" w:space="0"/>
            </w:tcBorders>
          </w:tcPr>
          <w:p>
            <w:pPr>
              <w:rPr>
                <w:sz w:val="18"/>
              </w:rPr>
            </w:pPr>
          </w:p>
          <w:p>
            <w:pPr>
              <w:ind w:firstLine="1065" w:firstLineChars="592"/>
              <w:rPr>
                <w:sz w:val="18"/>
              </w:rPr>
            </w:pPr>
            <w:r>
              <w:rPr>
                <w:rFonts w:hint="eastAsia"/>
                <w:sz w:val="18"/>
              </w:rPr>
              <w:t>指标</w:t>
            </w:r>
          </w:p>
          <w:p>
            <w:pPr>
              <w:ind w:firstLine="360"/>
              <w:rPr>
                <w:sz w:val="18"/>
              </w:rPr>
            </w:pPr>
          </w:p>
          <w:p>
            <w:pPr>
              <w:rPr>
                <w:sz w:val="18"/>
              </w:rPr>
            </w:pPr>
            <w:r>
              <w:rPr>
                <w:rFonts w:hint="eastAsia"/>
                <w:sz w:val="18"/>
              </w:rPr>
              <w:t>行业</w:t>
            </w:r>
          </w:p>
        </w:tc>
        <w:tc>
          <w:tcPr>
            <w:tcW w:w="333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sz w:val="18"/>
              </w:rPr>
              <w:t>当年流量</w:t>
            </w:r>
          </w:p>
        </w:tc>
        <w:tc>
          <w:tcPr>
            <w:tcW w:w="3748" w:type="dxa"/>
            <w:gridSpan w:val="3"/>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234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262"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072" w:type="dxa"/>
            <w:gridSpan w:val="2"/>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126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488" w:type="dxa"/>
            <w:gridSpan w:val="2"/>
            <w:tcBorders>
              <w:top w:val="single" w:color="auto" w:sz="2" w:space="0"/>
              <w:left w:val="nil"/>
              <w:bottom w:val="single" w:color="auto" w:sz="2" w:space="0"/>
              <w:right w:val="nil"/>
            </w:tcBorders>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4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26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新增</w:t>
            </w:r>
          </w:p>
          <w:p>
            <w:pPr>
              <w:jc w:val="center"/>
              <w:rPr>
                <w:sz w:val="18"/>
              </w:rPr>
            </w:pPr>
            <w:r>
              <w:rPr>
                <w:rFonts w:hint="eastAsia"/>
                <w:sz w:val="18"/>
              </w:rPr>
              <w:t>股权</w:t>
            </w:r>
          </w:p>
        </w:tc>
        <w:tc>
          <w:tcPr>
            <w:tcW w:w="1172"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当期收益再投资</w:t>
            </w:r>
          </w:p>
        </w:tc>
        <w:tc>
          <w:tcPr>
            <w:tcW w:w="12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003"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股权</w:t>
            </w:r>
          </w:p>
        </w:tc>
        <w:tc>
          <w:tcPr>
            <w:tcW w:w="1485"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收益</w:t>
            </w:r>
          </w:p>
          <w:p>
            <w:pPr>
              <w:jc w:val="center"/>
              <w:rPr>
                <w:sz w:val="18"/>
              </w:rPr>
            </w:pPr>
            <w:r>
              <w:rPr>
                <w:rFonts w:hint="eastAsia"/>
                <w:sz w:val="18"/>
              </w:rPr>
              <w:t>再投资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234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2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7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100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148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340" w:type="dxa"/>
            <w:tcBorders>
              <w:top w:val="single" w:color="auto" w:sz="2" w:space="0"/>
              <w:left w:val="nil"/>
              <w:bottom w:val="single" w:color="auto" w:sz="8" w:space="0"/>
              <w:right w:val="single" w:color="auto" w:sz="2" w:space="0"/>
            </w:tcBorders>
          </w:tcPr>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合计</w:t>
            </w:r>
          </w:p>
          <w:p>
            <w:pPr>
              <w:pStyle w:val="16"/>
              <w:numPr>
                <w:ilvl w:val="0"/>
                <w:numId w:val="4"/>
              </w:numPr>
              <w:rPr>
                <w:rFonts w:ascii="宋体" w:hAnsi="宋体" w:eastAsia="宋体"/>
                <w:b w:val="0"/>
                <w:sz w:val="18"/>
              </w:rPr>
            </w:pPr>
            <w:r>
              <w:rPr>
                <w:rFonts w:hint="eastAsia" w:ascii="宋体" w:hAnsi="宋体" w:eastAsia="宋体"/>
                <w:b w:val="0"/>
                <w:sz w:val="18"/>
              </w:rPr>
              <w:t>金融业</w:t>
            </w:r>
          </w:p>
          <w:p>
            <w:pPr>
              <w:pStyle w:val="16"/>
              <w:ind w:left="360"/>
              <w:rPr>
                <w:rFonts w:ascii="宋体" w:hAnsi="宋体" w:eastAsia="宋体"/>
                <w:b w:val="0"/>
                <w:sz w:val="18"/>
              </w:rPr>
            </w:pPr>
            <w:r>
              <w:rPr>
                <w:rFonts w:hint="eastAsia" w:ascii="宋体" w:hAnsi="宋体" w:eastAsia="宋体"/>
                <w:b w:val="0"/>
                <w:sz w:val="18"/>
              </w:rPr>
              <w:t>货币金融服务</w:t>
            </w:r>
          </w:p>
          <w:p>
            <w:pPr>
              <w:pStyle w:val="16"/>
              <w:ind w:left="360"/>
              <w:rPr>
                <w:rFonts w:ascii="宋体" w:hAnsi="宋体" w:eastAsia="宋体"/>
                <w:b w:val="0"/>
                <w:sz w:val="18"/>
              </w:rPr>
            </w:pPr>
            <w:r>
              <w:rPr>
                <w:rFonts w:hint="eastAsia" w:ascii="宋体" w:hAnsi="宋体" w:eastAsia="宋体"/>
                <w:b w:val="0"/>
                <w:sz w:val="18"/>
              </w:rPr>
              <w:t>资本市场服务</w:t>
            </w:r>
          </w:p>
          <w:p>
            <w:pPr>
              <w:pStyle w:val="16"/>
              <w:ind w:left="360"/>
              <w:rPr>
                <w:rFonts w:ascii="宋体" w:hAnsi="宋体" w:eastAsia="宋体"/>
                <w:b w:val="0"/>
                <w:sz w:val="18"/>
              </w:rPr>
            </w:pPr>
            <w:r>
              <w:rPr>
                <w:rFonts w:hint="eastAsia" w:ascii="宋体" w:hAnsi="宋体" w:eastAsia="宋体"/>
                <w:b w:val="0"/>
                <w:sz w:val="18"/>
              </w:rPr>
              <w:t>保险业</w:t>
            </w:r>
          </w:p>
          <w:p>
            <w:pPr>
              <w:pStyle w:val="16"/>
              <w:ind w:left="360"/>
              <w:rPr>
                <w:rFonts w:ascii="宋体" w:hAnsi="宋体" w:eastAsia="宋体"/>
                <w:b w:val="0"/>
                <w:sz w:val="18"/>
              </w:rPr>
            </w:pPr>
            <w:r>
              <w:rPr>
                <w:rFonts w:hint="eastAsia" w:ascii="宋体" w:hAnsi="宋体" w:eastAsia="宋体"/>
                <w:b w:val="0"/>
                <w:sz w:val="18"/>
              </w:rPr>
              <w:t>其他金融业</w:t>
            </w:r>
          </w:p>
          <w:p>
            <w:pPr>
              <w:pStyle w:val="16"/>
              <w:numPr>
                <w:ilvl w:val="0"/>
                <w:numId w:val="4"/>
              </w:numPr>
              <w:rPr>
                <w:rFonts w:ascii="宋体" w:hAnsi="宋体" w:eastAsia="宋体"/>
                <w:b w:val="0"/>
                <w:sz w:val="18"/>
              </w:rPr>
            </w:pPr>
            <w:r>
              <w:rPr>
                <w:rFonts w:hint="eastAsia" w:ascii="宋体" w:hAnsi="宋体" w:eastAsia="宋体"/>
                <w:b w:val="0"/>
                <w:sz w:val="18"/>
              </w:rPr>
              <w:t>非金融业</w:t>
            </w:r>
          </w:p>
          <w:p>
            <w:pPr>
              <w:pStyle w:val="16"/>
              <w:ind w:firstLine="352" w:firstLineChars="196"/>
              <w:rPr>
                <w:rFonts w:ascii="宋体" w:hAnsi="宋体" w:eastAsia="宋体"/>
                <w:b w:val="0"/>
                <w:sz w:val="18"/>
              </w:rPr>
            </w:pPr>
            <w:r>
              <w:rPr>
                <w:rFonts w:hint="eastAsia" w:ascii="宋体" w:hAnsi="宋体" w:eastAsia="宋体"/>
                <w:b w:val="0"/>
                <w:sz w:val="18"/>
              </w:rPr>
              <w:t>按国民经济行业分组</w:t>
            </w:r>
          </w:p>
          <w:p>
            <w:pPr>
              <w:ind w:firstLine="90"/>
              <w:rPr>
                <w:sz w:val="18"/>
              </w:rPr>
            </w:pPr>
          </w:p>
        </w:tc>
        <w:tc>
          <w:tcPr>
            <w:tcW w:w="7082" w:type="dxa"/>
            <w:gridSpan w:val="6"/>
            <w:tcBorders>
              <w:top w:val="single" w:color="auto" w:sz="2" w:space="0"/>
              <w:left w:val="single" w:color="auto" w:sz="2" w:space="0"/>
              <w:bottom w:val="single" w:color="auto" w:sz="8" w:space="0"/>
              <w:right w:val="nil"/>
            </w:tcBorders>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rPr>
          <w:rFonts w:ascii="宋体" w:hAnsi="宋体"/>
          <w:sz w:val="18"/>
        </w:rPr>
      </w:pPr>
      <w:r>
        <w:rPr>
          <w:rFonts w:hint="eastAsia" w:ascii="宋体" w:hAnsi="宋体"/>
          <w:sz w:val="18"/>
        </w:rPr>
        <w:t>说明：1.本表综合反映报告年度我国金融业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本表由国家外汇管理局于年后</w:t>
      </w:r>
      <w:r>
        <w:rPr>
          <w:rFonts w:hAnsi="宋体"/>
          <w:sz w:val="18"/>
        </w:rPr>
        <w:t>7</w:t>
      </w:r>
      <w:r>
        <w:rPr>
          <w:rFonts w:hint="eastAsia" w:hAnsi="宋体"/>
          <w:sz w:val="18"/>
        </w:rPr>
        <w:t>月</w:t>
      </w:r>
      <w:r>
        <w:rPr>
          <w:rFonts w:hAnsi="宋体"/>
          <w:sz w:val="18"/>
        </w:rPr>
        <w:t>20</w:t>
      </w:r>
      <w:r>
        <w:rPr>
          <w:rFonts w:hint="eastAsia" w:hAnsi="宋体"/>
          <w:sz w:val="18"/>
        </w:rPr>
        <w:t>日前向商务部提供。</w:t>
      </w:r>
    </w:p>
    <w:p>
      <w:pPr>
        <w:ind w:firstLine="540"/>
        <w:rPr>
          <w:rFonts w:hAnsi="宋体"/>
          <w:b/>
          <w:bCs/>
          <w:sz w:val="18"/>
        </w:rPr>
      </w:pPr>
      <w:r>
        <w:rPr>
          <w:rFonts w:hint="eastAsia" w:ascii="宋体" w:hAnsi="宋体"/>
          <w:sz w:val="18"/>
        </w:rPr>
        <w:t>3.</w:t>
      </w:r>
      <w:r>
        <w:rPr>
          <w:rFonts w:hint="eastAsia" w:hAnsi="宋体"/>
          <w:sz w:val="18"/>
        </w:rPr>
        <w:t>行业分组见附录一。</w:t>
      </w:r>
    </w:p>
    <w:p>
      <w:pPr>
        <w:ind w:firstLine="540"/>
        <w:rPr>
          <w:rFonts w:hAnsi="宋体"/>
          <w:bCs/>
          <w:sz w:val="18"/>
        </w:rPr>
      </w:pPr>
    </w:p>
    <w:p>
      <w:pPr>
        <w:ind w:firstLine="540"/>
        <w:rPr>
          <w:rFonts w:hAnsi="宋体"/>
          <w:bCs/>
          <w:sz w:val="18"/>
        </w:rPr>
      </w:pPr>
    </w:p>
    <w:p>
      <w:pPr>
        <w:ind w:firstLine="540"/>
        <w:rPr>
          <w:rFonts w:hAnsi="宋体"/>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金融业境内投资者拥有的境外企业基本情况</w:t>
      </w:r>
    </w:p>
    <w:tbl>
      <w:tblPr>
        <w:tblStyle w:val="11"/>
        <w:tblW w:w="9407" w:type="dxa"/>
        <w:tblInd w:w="93" w:type="dxa"/>
        <w:tblLayout w:type="fixed"/>
        <w:tblCellMar>
          <w:top w:w="0" w:type="dxa"/>
          <w:left w:w="108" w:type="dxa"/>
          <w:bottom w:w="0" w:type="dxa"/>
          <w:right w:w="108" w:type="dxa"/>
        </w:tblCellMar>
      </w:tblPr>
      <w:tblGrid>
        <w:gridCol w:w="5897"/>
        <w:gridCol w:w="3510"/>
      </w:tblGrid>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号：FDI金融N3表</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6"/>
        <w:rPr>
          <w:rFonts w:ascii="宋体" w:hAnsi="宋体" w:eastAsia="宋体"/>
          <w:b w:val="0"/>
          <w:sz w:val="18"/>
        </w:rPr>
      </w:pPr>
      <w:r>
        <w:rPr>
          <w:rFonts w:hint="eastAsia" w:ascii="宋体" w:hAnsi="宋体" w:eastAsia="宋体"/>
          <w:b w:val="0"/>
          <w:sz w:val="18"/>
        </w:rPr>
        <w:t>综合机关：国家外汇管理局                    2 0  　年             计量单位：万美元、家、人</w:t>
      </w:r>
    </w:p>
    <w:tbl>
      <w:tblPr>
        <w:tblStyle w:val="11"/>
        <w:tblW w:w="94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21"/>
        <w:gridCol w:w="597"/>
        <w:gridCol w:w="709"/>
        <w:gridCol w:w="779"/>
        <w:gridCol w:w="567"/>
        <w:gridCol w:w="539"/>
        <w:gridCol w:w="850"/>
        <w:gridCol w:w="567"/>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29"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rPr>
                <w:sz w:val="18"/>
              </w:rPr>
            </w:pPr>
          </w:p>
          <w:p>
            <w:pPr>
              <w:rPr>
                <w:sz w:val="18"/>
              </w:rPr>
            </w:pPr>
            <w:r>
              <w:rPr>
                <w:rFonts w:hint="eastAsia"/>
                <w:sz w:val="18"/>
              </w:rPr>
              <w:t>行业</w:t>
            </w:r>
          </w:p>
          <w:p>
            <w:pPr>
              <w:ind w:firstLine="90"/>
              <w:rPr>
                <w:sz w:val="18"/>
              </w:rPr>
            </w:pPr>
            <w:r>
              <w:rPr>
                <w:sz w:val="18"/>
              </w:rPr>
              <w:t>/</w:t>
            </w:r>
            <w:r>
              <w:rPr>
                <w:rFonts w:hint="eastAsia"/>
                <w:sz w:val="18"/>
              </w:rPr>
              <w:t>国家（地区）</w:t>
            </w:r>
          </w:p>
        </w:tc>
        <w:tc>
          <w:tcPr>
            <w:tcW w:w="72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境外企业家数</w:t>
            </w:r>
          </w:p>
          <w:p>
            <w:pPr>
              <w:jc w:val="center"/>
              <w:rPr>
                <w:sz w:val="18"/>
              </w:rPr>
            </w:pPr>
          </w:p>
        </w:tc>
        <w:tc>
          <w:tcPr>
            <w:tcW w:w="59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负债</w:t>
            </w:r>
          </w:p>
          <w:p>
            <w:pPr>
              <w:jc w:val="center"/>
              <w:rPr>
                <w:rFonts w:eastAsia="宋体"/>
                <w:sz w:val="18"/>
              </w:rPr>
            </w:pPr>
            <w:r>
              <w:rPr>
                <w:rFonts w:hint="eastAsia"/>
                <w:sz w:val="18"/>
              </w:rPr>
              <w:t>合计</w:t>
            </w:r>
          </w:p>
        </w:tc>
        <w:tc>
          <w:tcPr>
            <w:tcW w:w="779" w:type="dxa"/>
            <w:vMerge w:val="restart"/>
            <w:tcBorders>
              <w:top w:val="single" w:color="auto" w:sz="8" w:space="0"/>
              <w:left w:val="single" w:color="auto" w:sz="2" w:space="0"/>
              <w:bottom w:val="single" w:color="auto" w:sz="2" w:space="0"/>
              <w:right w:val="nil"/>
            </w:tcBorders>
            <w:vAlign w:val="center"/>
          </w:tcPr>
          <w:p>
            <w:pPr>
              <w:rPr>
                <w:sz w:val="18"/>
              </w:rPr>
            </w:pPr>
            <w:r>
              <w:rPr>
                <w:rFonts w:hint="eastAsia"/>
                <w:sz w:val="18"/>
              </w:rPr>
              <w:t>所有者权益</w:t>
            </w:r>
          </w:p>
          <w:p>
            <w:pPr>
              <w:rPr>
                <w:rFonts w:eastAsia="宋体"/>
                <w:sz w:val="18"/>
              </w:rPr>
            </w:pPr>
            <w:r>
              <w:rPr>
                <w:rFonts w:hint="eastAsia"/>
                <w:sz w:val="18"/>
              </w:rPr>
              <w:t>合计</w:t>
            </w:r>
          </w:p>
        </w:tc>
        <w:tc>
          <w:tcPr>
            <w:tcW w:w="567" w:type="dxa"/>
            <w:vMerge w:val="restart"/>
            <w:tcBorders>
              <w:top w:val="single" w:color="auto" w:sz="8" w:space="0"/>
              <w:left w:val="nil"/>
              <w:bottom w:val="single" w:color="auto" w:sz="2" w:space="0"/>
              <w:right w:val="single" w:color="auto" w:sz="2" w:space="0"/>
            </w:tcBorders>
            <w:vAlign w:val="center"/>
          </w:tcPr>
          <w:p>
            <w:pPr>
              <w:widowControl/>
              <w:jc w:val="left"/>
              <w:rPr>
                <w:sz w:val="18"/>
              </w:rPr>
            </w:pPr>
          </w:p>
          <w:p>
            <w:pPr>
              <w:rPr>
                <w:sz w:val="18"/>
              </w:rPr>
            </w:pPr>
          </w:p>
        </w:tc>
        <w:tc>
          <w:tcPr>
            <w:tcW w:w="138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利润</w:t>
            </w:r>
          </w:p>
          <w:p>
            <w:pPr>
              <w:jc w:val="center"/>
              <w:rPr>
                <w:sz w:val="18"/>
              </w:rPr>
            </w:pPr>
            <w:r>
              <w:rPr>
                <w:rFonts w:hint="eastAsia"/>
                <w:sz w:val="18"/>
              </w:rPr>
              <w:t>总额</w:t>
            </w:r>
          </w:p>
        </w:tc>
        <w:tc>
          <w:tcPr>
            <w:tcW w:w="56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营业收入</w:t>
            </w:r>
          </w:p>
          <w:p>
            <w:pPr>
              <w:jc w:val="center"/>
              <w:rPr>
                <w:sz w:val="18"/>
              </w:rPr>
            </w:pP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对所在国家（地区）缴纳的税金总额</w:t>
            </w:r>
          </w:p>
          <w:p>
            <w:pPr>
              <w:jc w:val="center"/>
              <w:rPr>
                <w:sz w:val="18"/>
              </w:rPr>
            </w:pPr>
          </w:p>
        </w:tc>
        <w:tc>
          <w:tcPr>
            <w:tcW w:w="709"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w:t>
            </w:r>
            <w:r>
              <w:rPr>
                <w:sz w:val="18"/>
              </w:rPr>
              <w:t xml:space="preserve">      </w:t>
            </w:r>
            <w:r>
              <w:rPr>
                <w:rFonts w:hint="eastAsia"/>
                <w:sz w:val="18"/>
              </w:rPr>
              <w:t>数</w:t>
            </w:r>
          </w:p>
        </w:tc>
        <w:tc>
          <w:tcPr>
            <w:tcW w:w="708"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c>
          <w:tcPr>
            <w:tcW w:w="5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38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restart"/>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实收</w:t>
            </w:r>
          </w:p>
          <w:p>
            <w:pPr>
              <w:jc w:val="center"/>
              <w:rPr>
                <w:sz w:val="18"/>
              </w:rPr>
            </w:pPr>
            <w:r>
              <w:rPr>
                <w:rFonts w:hint="eastAsia"/>
                <w:sz w:val="18"/>
              </w:rPr>
              <w:t>资本</w:t>
            </w:r>
          </w:p>
        </w:tc>
        <w:tc>
          <w:tcPr>
            <w:tcW w:w="138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539" w:type="dxa"/>
            <w:tcBorders>
              <w:top w:val="nil"/>
              <w:left w:val="single" w:color="auto" w:sz="2" w:space="0"/>
              <w:bottom w:val="single" w:color="auto" w:sz="2" w:space="0"/>
              <w:right w:val="single" w:color="auto" w:sz="2" w:space="0"/>
            </w:tcBorders>
            <w:vAlign w:val="center"/>
          </w:tcPr>
          <w:p>
            <w:pPr>
              <w:jc w:val="center"/>
              <w:rPr>
                <w:sz w:val="18"/>
              </w:rPr>
            </w:pP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其中：净利润</w:t>
            </w: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29"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5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7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53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85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10</w:t>
            </w:r>
          </w:p>
        </w:tc>
        <w:tc>
          <w:tcPr>
            <w:tcW w:w="70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trPr>
        <w:tc>
          <w:tcPr>
            <w:tcW w:w="1829" w:type="dxa"/>
            <w:tcBorders>
              <w:top w:val="single" w:color="auto" w:sz="2" w:space="0"/>
              <w:left w:val="nil"/>
              <w:bottom w:val="single" w:color="auto" w:sz="8" w:space="0"/>
              <w:right w:val="single" w:color="auto" w:sz="2" w:space="0"/>
            </w:tcBorders>
          </w:tcPr>
          <w:p>
            <w:pPr>
              <w:jc w:val="center"/>
              <w:rPr>
                <w:sz w:val="18"/>
              </w:rPr>
            </w:pPr>
            <w:r>
              <w:rPr>
                <w:rFonts w:hint="eastAsia"/>
                <w:sz w:val="18"/>
              </w:rPr>
              <w:t>合计</w:t>
            </w:r>
          </w:p>
          <w:p>
            <w:pPr>
              <w:rPr>
                <w:sz w:val="18"/>
              </w:rPr>
            </w:pPr>
            <w:r>
              <w:rPr>
                <w:rFonts w:hint="eastAsia"/>
                <w:sz w:val="18"/>
              </w:rPr>
              <w:t>一、金融业</w:t>
            </w:r>
          </w:p>
          <w:p>
            <w:pPr>
              <w:rPr>
                <w:sz w:val="18"/>
              </w:rPr>
            </w:pPr>
            <w:r>
              <w:rPr>
                <w:rFonts w:hint="eastAsia"/>
                <w:sz w:val="18"/>
              </w:rPr>
              <w:t>亚洲</w:t>
            </w:r>
          </w:p>
          <w:p>
            <w:pPr>
              <w:rPr>
                <w:sz w:val="18"/>
              </w:rPr>
            </w:pPr>
            <w:r>
              <w:rPr>
                <w:sz w:val="18"/>
              </w:rPr>
              <w:t xml:space="preserve">   **</w:t>
            </w:r>
            <w:r>
              <w:rPr>
                <w:rFonts w:hint="eastAsia"/>
                <w:sz w:val="18"/>
              </w:rPr>
              <w:t>国家（地区）</w:t>
            </w:r>
          </w:p>
          <w:p>
            <w:pPr>
              <w:rPr>
                <w:sz w:val="18"/>
              </w:rPr>
            </w:pPr>
            <w:r>
              <w:rPr>
                <w:sz w:val="18"/>
              </w:rPr>
              <w:t xml:space="preserve">   </w:t>
            </w:r>
            <w:r>
              <w:rPr>
                <w:rFonts w:hint="eastAsia"/>
                <w:sz w:val="18"/>
              </w:rPr>
              <w:t>……</w:t>
            </w:r>
          </w:p>
          <w:p>
            <w:pPr>
              <w:rPr>
                <w:sz w:val="18"/>
              </w:rPr>
            </w:pPr>
            <w:r>
              <w:rPr>
                <w:sz w:val="18"/>
              </w:rPr>
              <w:t xml:space="preserve">   </w:t>
            </w:r>
            <w:r>
              <w:rPr>
                <w:rFonts w:hint="eastAsia"/>
                <w:sz w:val="18"/>
              </w:rPr>
              <w:t>……</w:t>
            </w:r>
          </w:p>
          <w:p>
            <w:pPr>
              <w:rPr>
                <w:sz w:val="18"/>
              </w:rPr>
            </w:pPr>
          </w:p>
          <w:p>
            <w:pPr>
              <w:numPr>
                <w:ilvl w:val="0"/>
                <w:numId w:val="5"/>
              </w:numPr>
              <w:rPr>
                <w:sz w:val="18"/>
              </w:rPr>
            </w:pPr>
            <w:r>
              <w:rPr>
                <w:rFonts w:hint="eastAsia"/>
                <w:sz w:val="18"/>
              </w:rPr>
              <w:t>非金融业</w:t>
            </w:r>
          </w:p>
          <w:p>
            <w:pPr>
              <w:rPr>
                <w:sz w:val="18"/>
              </w:rPr>
            </w:pPr>
            <w:r>
              <w:rPr>
                <w:rFonts w:hint="eastAsia"/>
                <w:sz w:val="18"/>
              </w:rPr>
              <w:t>亚洲</w:t>
            </w:r>
          </w:p>
          <w:p>
            <w:pPr>
              <w:rPr>
                <w:sz w:val="18"/>
              </w:rPr>
            </w:pPr>
            <w:r>
              <w:rPr>
                <w:sz w:val="18"/>
              </w:rPr>
              <w:t xml:space="preserve">   **</w:t>
            </w:r>
            <w:r>
              <w:rPr>
                <w:rFonts w:hint="eastAsia"/>
                <w:sz w:val="18"/>
              </w:rPr>
              <w:t>国家（地区）</w:t>
            </w:r>
          </w:p>
          <w:p>
            <w:pPr>
              <w:ind w:firstLine="270" w:firstLineChars="150"/>
              <w:rPr>
                <w:sz w:val="18"/>
              </w:rPr>
            </w:pPr>
            <w:r>
              <w:rPr>
                <w:rFonts w:hint="eastAsia"/>
                <w:sz w:val="18"/>
              </w:rPr>
              <w:t>……</w:t>
            </w:r>
          </w:p>
          <w:p>
            <w:pPr>
              <w:ind w:firstLine="270" w:firstLineChars="150"/>
              <w:rPr>
                <w:sz w:val="18"/>
              </w:rPr>
            </w:pPr>
            <w:r>
              <w:rPr>
                <w:rFonts w:hint="eastAsia"/>
                <w:sz w:val="18"/>
              </w:rPr>
              <w:t>……</w:t>
            </w:r>
          </w:p>
          <w:p>
            <w:pPr>
              <w:rPr>
                <w:sz w:val="18"/>
              </w:rPr>
            </w:pPr>
          </w:p>
          <w:p>
            <w:pPr>
              <w:rPr>
                <w:sz w:val="18"/>
              </w:rPr>
            </w:pPr>
          </w:p>
        </w:tc>
        <w:tc>
          <w:tcPr>
            <w:tcW w:w="7597" w:type="dxa"/>
            <w:gridSpan w:val="11"/>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pStyle w:val="2"/>
        <w:ind w:firstLine="0"/>
        <w:rPr>
          <w:rFonts w:ascii="宋体"/>
          <w:sz w:val="18"/>
        </w:rPr>
      </w:pPr>
      <w:r>
        <w:rPr>
          <w:rFonts w:hint="eastAsia" w:ascii="宋体"/>
          <w:sz w:val="18"/>
        </w:rPr>
        <w:t>说明：1.本表综合反映报告年度我国金融业（包括银行业、证券业、保险业等）对外直接投资者的基本情况和经营活动情况。</w:t>
      </w:r>
    </w:p>
    <w:p>
      <w:pPr>
        <w:ind w:firstLine="540" w:firstLineChars="300"/>
        <w:rPr>
          <w:rFonts w:hAnsi="宋体"/>
          <w:sz w:val="18"/>
        </w:rPr>
      </w:pPr>
      <w:r>
        <w:rPr>
          <w:rFonts w:hint="eastAsia" w:ascii="宋体" w:hAnsi="宋体"/>
          <w:sz w:val="18"/>
        </w:rPr>
        <w:t>2.</w:t>
      </w:r>
      <w:r>
        <w:rPr>
          <w:rFonts w:hint="eastAsia" w:hAnsi="宋体"/>
          <w:sz w:val="18"/>
        </w:rPr>
        <w:t>本表由国家外汇管理局于年后</w:t>
      </w:r>
      <w:r>
        <w:rPr>
          <w:rFonts w:hAnsi="宋体"/>
          <w:sz w:val="18"/>
        </w:rPr>
        <w:t>7</w:t>
      </w:r>
      <w:r>
        <w:rPr>
          <w:rFonts w:hint="eastAsia" w:hAnsi="宋体"/>
          <w:sz w:val="18"/>
        </w:rPr>
        <w:t>月</w:t>
      </w:r>
      <w:r>
        <w:rPr>
          <w:rFonts w:hAnsi="宋体"/>
          <w:sz w:val="18"/>
        </w:rPr>
        <w:t>20</w:t>
      </w:r>
      <w:r>
        <w:rPr>
          <w:rFonts w:hint="eastAsia" w:hAnsi="宋体"/>
          <w:sz w:val="18"/>
        </w:rPr>
        <w:t>日前向商务部提供。</w:t>
      </w:r>
    </w:p>
    <w:p>
      <w:pPr>
        <w:pStyle w:val="16"/>
        <w:rPr>
          <w:rFonts w:ascii="宋体" w:hAnsi="宋体" w:eastAsia="宋体"/>
          <w:b w:val="0"/>
          <w:sz w:val="18"/>
        </w:rPr>
      </w:pPr>
    </w:p>
    <w:p>
      <w:pPr>
        <w:ind w:firstLine="540"/>
        <w:rPr>
          <w:b/>
          <w:sz w:val="18"/>
        </w:rPr>
      </w:pPr>
    </w:p>
    <w:p>
      <w:pPr>
        <w:ind w:firstLine="540"/>
        <w:rPr>
          <w:b/>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rPr>
          <w:rFonts w:hAnsi="宋体"/>
          <w:bCs/>
          <w:sz w:val="18"/>
        </w:rPr>
      </w:pPr>
    </w:p>
    <w:p>
      <w:pPr>
        <w:jc w:val="center"/>
        <w:rPr>
          <w:rFonts w:ascii="宋体" w:hAnsi="宋体"/>
          <w:b/>
          <w:bCs/>
          <w:sz w:val="32"/>
          <w:szCs w:val="32"/>
        </w:rPr>
      </w:pPr>
      <w:r>
        <w:rPr>
          <w:rFonts w:hint="eastAsia" w:ascii="宋体" w:hAnsi="宋体"/>
          <w:b/>
          <w:bCs/>
          <w:sz w:val="32"/>
          <w:szCs w:val="32"/>
        </w:rPr>
        <w:t>金融业对外直接投资情况</w:t>
      </w:r>
    </w:p>
    <w:p>
      <w:pPr>
        <w:jc w:val="center"/>
        <w:rPr>
          <w:rFonts w:ascii="宋体" w:hAnsi="宋体"/>
          <w:b/>
          <w:bCs/>
          <w:sz w:val="28"/>
          <w:szCs w:val="28"/>
        </w:rPr>
      </w:pPr>
      <w:r>
        <w:rPr>
          <w:rFonts w:hint="eastAsia" w:ascii="宋体" w:hAnsi="宋体"/>
          <w:b/>
          <w:bCs/>
          <w:sz w:val="28"/>
          <w:szCs w:val="28"/>
        </w:rPr>
        <w:t>（按国别地区分组）</w:t>
      </w:r>
    </w:p>
    <w:tbl>
      <w:tblPr>
        <w:tblStyle w:val="11"/>
        <w:tblW w:w="9500" w:type="dxa"/>
        <w:tblInd w:w="0" w:type="dxa"/>
        <w:tblLayout w:type="fixed"/>
        <w:tblCellMar>
          <w:top w:w="0" w:type="dxa"/>
          <w:left w:w="108" w:type="dxa"/>
          <w:bottom w:w="0" w:type="dxa"/>
          <w:right w:w="108" w:type="dxa"/>
        </w:tblCellMar>
      </w:tblPr>
      <w:tblGrid>
        <w:gridCol w:w="93"/>
        <w:gridCol w:w="2747"/>
        <w:gridCol w:w="2841"/>
        <w:gridCol w:w="309"/>
        <w:gridCol w:w="3478"/>
        <w:gridCol w:w="32"/>
      </w:tblGrid>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号：FDI金融Y1表</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综合机关： 国家外汇管理局         2 0 　年  1-   月  　</w:t>
            </w: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shd w:val="clear" w:color="auto" w:fill="auto"/>
          </w:tcPr>
          <w:p>
            <w:pPr>
              <w:pStyle w:val="16"/>
              <w:rPr>
                <w:rFonts w:ascii="宋体" w:hAnsi="宋体" w:eastAsia="宋体"/>
                <w:b w:val="0"/>
                <w:sz w:val="18"/>
              </w:rPr>
            </w:pPr>
            <w:r>
              <w:rPr>
                <w:rFonts w:hint="eastAsia" w:ascii="宋体" w:hAnsi="宋体" w:eastAsia="宋体"/>
                <w:b w:val="0"/>
                <w:sz w:val="18"/>
              </w:rPr>
              <w:t xml:space="preserve">              </w:t>
            </w:r>
          </w:p>
          <w:p>
            <w:pPr>
              <w:pStyle w:val="16"/>
              <w:ind w:firstLine="1657" w:firstLineChars="921"/>
              <w:rPr>
                <w:rFonts w:ascii="宋体" w:hAnsi="宋体" w:eastAsia="宋体"/>
                <w:b w:val="0"/>
                <w:sz w:val="18"/>
              </w:rPr>
            </w:pPr>
            <w:r>
              <w:rPr>
                <w:rFonts w:hint="eastAsia" w:ascii="宋体" w:hAnsi="宋体" w:eastAsia="宋体"/>
                <w:b w:val="0"/>
                <w:sz w:val="18"/>
              </w:rPr>
              <w:t>指标</w:t>
            </w:r>
          </w:p>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行业/国家（地区）</w:t>
            </w:r>
          </w:p>
        </w:tc>
        <w:tc>
          <w:tcPr>
            <w:tcW w:w="2841" w:type="dxa"/>
            <w:vMerge w:val="restart"/>
            <w:tcBorders>
              <w:top w:val="single" w:color="auto" w:sz="8" w:space="0"/>
              <w:left w:val="single" w:color="auto" w:sz="2" w:space="0"/>
              <w:bottom w:val="single" w:color="auto" w:sz="2" w:space="0"/>
              <w:right w:val="nil"/>
            </w:tcBorders>
            <w:shd w:val="clear" w:color="auto" w:fill="auto"/>
          </w:tcPr>
          <w:p>
            <w:pPr>
              <w:pStyle w:val="16"/>
              <w:rPr>
                <w:rFonts w:ascii="宋体" w:hAnsi="宋体" w:eastAsia="宋体"/>
                <w:b w:val="0"/>
                <w:sz w:val="18"/>
              </w:rPr>
            </w:pPr>
          </w:p>
          <w:p>
            <w:pPr>
              <w:pStyle w:val="16"/>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直接投资额</w:t>
            </w:r>
          </w:p>
        </w:tc>
        <w:tc>
          <w:tcPr>
            <w:tcW w:w="3787" w:type="dxa"/>
            <w:gridSpan w:val="2"/>
            <w:tcBorders>
              <w:top w:val="single" w:color="auto" w:sz="8" w:space="0"/>
              <w:left w:val="nil"/>
              <w:bottom w:val="single" w:color="auto" w:sz="2" w:space="0"/>
              <w:right w:val="nil"/>
            </w:tcBorders>
            <w:shd w:val="clear" w:color="auto" w:fill="auto"/>
          </w:tcPr>
          <w:p>
            <w:pPr>
              <w:pStyle w:val="16"/>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65" w:hRule="atLeast"/>
        </w:trPr>
        <w:tc>
          <w:tcPr>
            <w:tcW w:w="2840" w:type="dxa"/>
            <w:gridSpan w:val="2"/>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sz w:val="18"/>
              </w:rPr>
            </w:pPr>
          </w:p>
        </w:tc>
        <w:tc>
          <w:tcPr>
            <w:tcW w:w="3787" w:type="dxa"/>
            <w:gridSpan w:val="2"/>
            <w:tcBorders>
              <w:top w:val="single" w:color="auto" w:sz="2" w:space="0"/>
              <w:left w:val="single" w:color="auto" w:sz="2" w:space="0"/>
              <w:bottom w:val="single" w:color="auto" w:sz="2" w:space="0"/>
              <w:right w:val="nil"/>
            </w:tcBorders>
            <w:shd w:val="clear" w:color="auto" w:fill="auto"/>
          </w:tcPr>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其中：新增股权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50" w:hRule="atLeast"/>
        </w:trPr>
        <w:tc>
          <w:tcPr>
            <w:tcW w:w="2840" w:type="dxa"/>
            <w:gridSpan w:val="2"/>
            <w:tcBorders>
              <w:top w:val="single" w:color="auto" w:sz="2" w:space="0"/>
              <w:left w:val="nil"/>
              <w:bottom w:val="single" w:color="auto" w:sz="2" w:space="0"/>
              <w:right w:val="single" w:color="auto" w:sz="2" w:space="0"/>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1</w:t>
            </w:r>
          </w:p>
        </w:tc>
        <w:tc>
          <w:tcPr>
            <w:tcW w:w="3787" w:type="dxa"/>
            <w:gridSpan w:val="2"/>
            <w:tcBorders>
              <w:top w:val="single" w:color="auto" w:sz="2" w:space="0"/>
              <w:left w:val="single" w:color="auto" w:sz="2" w:space="0"/>
              <w:bottom w:val="single" w:color="auto" w:sz="2" w:space="0"/>
              <w:right w:val="nil"/>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6105" w:hRule="atLeast"/>
        </w:trPr>
        <w:tc>
          <w:tcPr>
            <w:tcW w:w="2840" w:type="dxa"/>
            <w:gridSpan w:val="2"/>
            <w:tcBorders>
              <w:top w:val="single" w:color="auto" w:sz="2" w:space="0"/>
              <w:left w:val="nil"/>
              <w:bottom w:val="single" w:color="auto" w:sz="8" w:space="0"/>
              <w:right w:val="single" w:color="auto" w:sz="2" w:space="0"/>
            </w:tcBorders>
            <w:shd w:val="clear" w:color="auto" w:fill="auto"/>
          </w:tcPr>
          <w:p>
            <w:pPr>
              <w:pStyle w:val="16"/>
              <w:rPr>
                <w:rFonts w:ascii="宋体" w:hAnsi="宋体" w:eastAsia="宋体"/>
                <w:b w:val="0"/>
                <w:sz w:val="18"/>
              </w:rPr>
            </w:pPr>
            <w:r>
              <w:rPr>
                <w:rFonts w:hint="eastAsia" w:ascii="宋体" w:hAnsi="宋体" w:eastAsia="宋体"/>
                <w:b w:val="0"/>
                <w:sz w:val="18"/>
              </w:rPr>
              <w:t>合计</w:t>
            </w:r>
          </w:p>
          <w:p>
            <w:pPr>
              <w:pStyle w:val="16"/>
              <w:numPr>
                <w:ilvl w:val="0"/>
                <w:numId w:val="6"/>
              </w:numPr>
              <w:rPr>
                <w:rFonts w:ascii="宋体" w:hAnsi="宋体" w:eastAsia="宋体"/>
                <w:b w:val="0"/>
                <w:sz w:val="18"/>
              </w:rPr>
            </w:pPr>
            <w:r>
              <w:rPr>
                <w:rFonts w:hint="eastAsia" w:ascii="宋体" w:hAnsi="宋体" w:eastAsia="宋体"/>
                <w:b w:val="0"/>
                <w:sz w:val="18"/>
              </w:rPr>
              <w:t>金融业</w:t>
            </w:r>
          </w:p>
          <w:p>
            <w:pPr>
              <w:pStyle w:val="16"/>
              <w:ind w:left="360"/>
              <w:rPr>
                <w:rFonts w:ascii="宋体" w:hAnsi="宋体" w:eastAsia="宋体"/>
                <w:b w:val="0"/>
                <w:sz w:val="18"/>
              </w:rPr>
            </w:pPr>
            <w:r>
              <w:rPr>
                <w:rFonts w:hint="eastAsia" w:ascii="宋体" w:hAnsi="宋体" w:eastAsia="宋体"/>
                <w:b w:val="0"/>
                <w:sz w:val="18"/>
              </w:rPr>
              <w:t>亚洲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left="360"/>
              <w:rPr>
                <w:rFonts w:ascii="宋体" w:hAnsi="宋体" w:eastAsia="宋体"/>
                <w:b w:val="0"/>
                <w:sz w:val="18"/>
              </w:rPr>
            </w:pPr>
            <w:r>
              <w:rPr>
                <w:rFonts w:hint="eastAsia" w:ascii="宋体" w:hAnsi="宋体" w:eastAsia="宋体"/>
                <w:b w:val="0"/>
                <w:sz w:val="18"/>
              </w:rPr>
              <w:t>非洲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left="360"/>
              <w:rPr>
                <w:rFonts w:ascii="宋体" w:hAnsi="宋体" w:eastAsia="宋体"/>
                <w:b w:val="0"/>
                <w:sz w:val="18"/>
              </w:rPr>
            </w:pPr>
            <w:r>
              <w:rPr>
                <w:rFonts w:hint="eastAsia" w:ascii="宋体" w:hAnsi="宋体" w:eastAsia="宋体"/>
                <w:b w:val="0"/>
                <w:sz w:val="18"/>
              </w:rPr>
              <w:t>欧洲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left="360"/>
              <w:rPr>
                <w:rFonts w:ascii="宋体" w:hAnsi="宋体" w:eastAsia="宋体"/>
                <w:b w:val="0"/>
                <w:sz w:val="18"/>
              </w:rPr>
            </w:pPr>
            <w:r>
              <w:rPr>
                <w:rFonts w:hint="eastAsia" w:ascii="宋体" w:hAnsi="宋体" w:eastAsia="宋体"/>
                <w:b w:val="0"/>
                <w:sz w:val="18"/>
              </w:rPr>
              <w:t>……</w:t>
            </w:r>
          </w:p>
          <w:p>
            <w:pPr>
              <w:pStyle w:val="16"/>
              <w:ind w:left="360"/>
              <w:rPr>
                <w:rFonts w:ascii="宋体" w:hAnsi="宋体" w:eastAsia="宋体"/>
                <w:b w:val="0"/>
                <w:sz w:val="18"/>
              </w:rPr>
            </w:pPr>
            <w:r>
              <w:rPr>
                <w:rFonts w:hint="eastAsia" w:ascii="宋体" w:hAnsi="宋体" w:eastAsia="宋体"/>
                <w:b w:val="0"/>
                <w:sz w:val="18"/>
              </w:rPr>
              <w:t>……</w:t>
            </w:r>
          </w:p>
          <w:p>
            <w:pPr>
              <w:pStyle w:val="16"/>
              <w:numPr>
                <w:ilvl w:val="0"/>
                <w:numId w:val="6"/>
              </w:numPr>
              <w:rPr>
                <w:rFonts w:ascii="宋体" w:hAnsi="宋体" w:eastAsia="宋体"/>
                <w:b w:val="0"/>
                <w:sz w:val="18"/>
              </w:rPr>
            </w:pPr>
            <w:r>
              <w:rPr>
                <w:rFonts w:hint="eastAsia" w:ascii="宋体" w:hAnsi="宋体" w:eastAsia="宋体"/>
                <w:b w:val="0"/>
                <w:sz w:val="18"/>
              </w:rPr>
              <w:t>非金融业</w:t>
            </w:r>
          </w:p>
          <w:p>
            <w:pPr>
              <w:pStyle w:val="16"/>
              <w:ind w:left="360"/>
              <w:rPr>
                <w:rFonts w:ascii="宋体" w:hAnsi="宋体" w:eastAsia="宋体"/>
                <w:b w:val="0"/>
                <w:sz w:val="18"/>
              </w:rPr>
            </w:pPr>
            <w:r>
              <w:rPr>
                <w:rFonts w:hint="eastAsia" w:ascii="宋体" w:hAnsi="宋体" w:eastAsia="宋体"/>
                <w:b w:val="0"/>
                <w:sz w:val="18"/>
              </w:rPr>
              <w:t>亚洲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left="360"/>
              <w:rPr>
                <w:rFonts w:ascii="宋体" w:hAnsi="宋体" w:eastAsia="宋体"/>
                <w:b w:val="0"/>
                <w:sz w:val="18"/>
              </w:rPr>
            </w:pPr>
            <w:r>
              <w:rPr>
                <w:rFonts w:hint="eastAsia" w:ascii="宋体" w:hAnsi="宋体" w:eastAsia="宋体"/>
                <w:b w:val="0"/>
                <w:sz w:val="18"/>
              </w:rPr>
              <w:t>非洲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left="360"/>
              <w:rPr>
                <w:rFonts w:ascii="宋体" w:hAnsi="宋体" w:eastAsia="宋体"/>
                <w:b w:val="0"/>
                <w:sz w:val="18"/>
              </w:rPr>
            </w:pPr>
            <w:r>
              <w:rPr>
                <w:rFonts w:hint="eastAsia" w:ascii="宋体" w:hAnsi="宋体" w:eastAsia="宋体"/>
                <w:b w:val="0"/>
                <w:sz w:val="18"/>
              </w:rPr>
              <w:t>欧洲</w:t>
            </w:r>
          </w:p>
          <w:p>
            <w:pPr>
              <w:pStyle w:val="16"/>
              <w:ind w:left="360"/>
              <w:rPr>
                <w:rFonts w:ascii="宋体" w:hAnsi="宋体" w:eastAsia="宋体"/>
                <w:b w:val="0"/>
                <w:sz w:val="18"/>
              </w:rPr>
            </w:pPr>
            <w:r>
              <w:rPr>
                <w:rFonts w:hint="eastAsia" w:ascii="宋体" w:hAnsi="宋体" w:eastAsia="宋体"/>
                <w:b w:val="0"/>
                <w:sz w:val="18"/>
              </w:rPr>
              <w:t xml:space="preserve">   **国家（地区）</w:t>
            </w:r>
          </w:p>
          <w:p>
            <w:pPr>
              <w:pStyle w:val="16"/>
              <w:ind w:firstLine="352" w:firstLineChars="196"/>
              <w:rPr>
                <w:rFonts w:ascii="宋体" w:hAnsi="宋体" w:eastAsia="宋体"/>
                <w:b w:val="0"/>
                <w:sz w:val="18"/>
              </w:rPr>
            </w:pPr>
            <w:r>
              <w:rPr>
                <w:rFonts w:hint="eastAsia" w:ascii="宋体" w:hAnsi="宋体" w:eastAsia="宋体"/>
                <w:b w:val="0"/>
                <w:sz w:val="18"/>
              </w:rPr>
              <w:t>……</w:t>
            </w:r>
          </w:p>
          <w:p>
            <w:pPr>
              <w:pStyle w:val="16"/>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shd w:val="clear" w:color="auto" w:fill="auto"/>
          </w:tcPr>
          <w:p>
            <w:pPr>
              <w:pStyle w:val="16"/>
              <w:rPr>
                <w:rFonts w:ascii="宋体" w:hAnsi="宋体" w:eastAsia="宋体"/>
                <w:b w:val="0"/>
                <w:sz w:val="18"/>
              </w:rPr>
            </w:pPr>
          </w:p>
        </w:tc>
        <w:tc>
          <w:tcPr>
            <w:tcW w:w="3787" w:type="dxa"/>
            <w:gridSpan w:val="2"/>
            <w:tcBorders>
              <w:top w:val="single" w:color="auto" w:sz="2" w:space="0"/>
              <w:left w:val="nil"/>
              <w:bottom w:val="single" w:color="auto" w:sz="8" w:space="0"/>
              <w:right w:val="nil"/>
            </w:tcBorders>
            <w:shd w:val="clear" w:color="auto" w:fill="auto"/>
          </w:tcPr>
          <w:p>
            <w:pPr>
              <w:pStyle w:val="16"/>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说明：1.本表综合反映报告期我国金融业（包括银行业、证券业、保险业等）境内投资者对外直接投资的国家地区分布情况。</w:t>
      </w:r>
    </w:p>
    <w:p>
      <w:pPr>
        <w:ind w:firstLine="529" w:firstLineChars="294"/>
        <w:rPr>
          <w:rFonts w:ascii="宋体" w:hAnsi="宋体"/>
          <w:sz w:val="18"/>
        </w:rPr>
      </w:pPr>
      <w:r>
        <w:rPr>
          <w:rFonts w:hint="eastAsia" w:ascii="宋体" w:hAnsi="宋体"/>
          <w:sz w:val="18"/>
        </w:rPr>
        <w:t>2.</w:t>
      </w:r>
      <w:r>
        <w:rPr>
          <w:rFonts w:hint="eastAsia" w:hAnsi="宋体"/>
          <w:sz w:val="18"/>
        </w:rPr>
        <w:t>本表由国家外汇管理局于月后</w:t>
      </w:r>
      <w:r>
        <w:rPr>
          <w:rFonts w:hAnsi="宋体"/>
          <w:sz w:val="18"/>
        </w:rPr>
        <w:t>15</w:t>
      </w:r>
      <w:r>
        <w:rPr>
          <w:rFonts w:hint="eastAsia" w:hAnsi="宋体"/>
          <w:sz w:val="18"/>
        </w:rPr>
        <w:t>日内向商务部提供。</w:t>
      </w:r>
    </w:p>
    <w:p>
      <w:pPr>
        <w:ind w:firstLine="540"/>
        <w:rPr>
          <w:rFonts w:hAnsi="宋体"/>
          <w:b/>
          <w:bCs/>
          <w:sz w:val="18"/>
        </w:rPr>
      </w:pPr>
    </w:p>
    <w:p>
      <w:pPr>
        <w:ind w:firstLine="540"/>
        <w:rPr>
          <w:rFonts w:hAnsi="宋体"/>
          <w:b/>
          <w:bCs/>
          <w:sz w:val="18"/>
        </w:rPr>
      </w:pPr>
    </w:p>
    <w:p>
      <w:pPr>
        <w:ind w:firstLine="540"/>
        <w:rPr>
          <w:rFonts w:hAnsi="宋体"/>
          <w:b/>
          <w:bCs/>
          <w:sz w:val="18"/>
        </w:rPr>
      </w:pPr>
    </w:p>
    <w:p>
      <w:pPr>
        <w:jc w:val="center"/>
        <w:rPr>
          <w:rFonts w:hint="eastAsia"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金融业对外直接投资情况</w:t>
      </w:r>
    </w:p>
    <w:p>
      <w:pPr>
        <w:jc w:val="center"/>
        <w:rPr>
          <w:rFonts w:ascii="宋体" w:hAnsi="宋体"/>
          <w:b/>
          <w:bCs/>
          <w:sz w:val="28"/>
          <w:szCs w:val="28"/>
        </w:rPr>
      </w:pPr>
      <w:r>
        <w:rPr>
          <w:rFonts w:hint="eastAsia" w:ascii="宋体" w:hAnsi="宋体"/>
          <w:b/>
          <w:bCs/>
          <w:sz w:val="28"/>
          <w:szCs w:val="28"/>
        </w:rPr>
        <w:t>（按国民经济行业分组）</w:t>
      </w:r>
    </w:p>
    <w:tbl>
      <w:tblPr>
        <w:tblStyle w:val="11"/>
        <w:tblW w:w="9500" w:type="dxa"/>
        <w:tblInd w:w="0" w:type="dxa"/>
        <w:tblLayout w:type="fixed"/>
        <w:tblCellMar>
          <w:top w:w="0" w:type="dxa"/>
          <w:left w:w="108" w:type="dxa"/>
          <w:bottom w:w="0" w:type="dxa"/>
          <w:right w:w="108" w:type="dxa"/>
        </w:tblCellMar>
      </w:tblPr>
      <w:tblGrid>
        <w:gridCol w:w="93"/>
        <w:gridCol w:w="2747"/>
        <w:gridCol w:w="2841"/>
        <w:gridCol w:w="309"/>
        <w:gridCol w:w="3298"/>
        <w:gridCol w:w="212"/>
      </w:tblGrid>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号：FDI金融Y2表</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综合机关： 国家外汇管理局         2 0 　年  1-   月  　</w:t>
            </w:r>
          </w:p>
        </w:tc>
        <w:tc>
          <w:tcPr>
            <w:tcW w:w="35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shd w:val="clear" w:color="auto" w:fill="auto"/>
          </w:tcPr>
          <w:p>
            <w:pPr>
              <w:pStyle w:val="16"/>
              <w:rPr>
                <w:rFonts w:ascii="宋体" w:hAnsi="宋体" w:eastAsia="宋体"/>
                <w:b w:val="0"/>
                <w:sz w:val="18"/>
              </w:rPr>
            </w:pPr>
            <w:r>
              <w:rPr>
                <w:rFonts w:hint="eastAsia" w:ascii="宋体" w:hAnsi="宋体" w:eastAsia="宋体"/>
                <w:b w:val="0"/>
                <w:sz w:val="18"/>
              </w:rPr>
              <w:t xml:space="preserve">                </w:t>
            </w:r>
          </w:p>
          <w:p>
            <w:pPr>
              <w:pStyle w:val="16"/>
              <w:ind w:firstLine="1485" w:firstLineChars="825"/>
              <w:rPr>
                <w:rFonts w:ascii="宋体" w:hAnsi="宋体" w:eastAsia="宋体"/>
                <w:b w:val="0"/>
                <w:sz w:val="18"/>
              </w:rPr>
            </w:pPr>
            <w:r>
              <w:rPr>
                <w:rFonts w:hint="eastAsia" w:ascii="宋体" w:hAnsi="宋体" w:eastAsia="宋体"/>
                <w:b w:val="0"/>
                <w:sz w:val="18"/>
              </w:rPr>
              <w:t xml:space="preserve"> 指标</w:t>
            </w:r>
          </w:p>
          <w:p>
            <w:pPr>
              <w:pStyle w:val="16"/>
              <w:rPr>
                <w:rFonts w:ascii="宋体" w:hAnsi="宋体" w:eastAsia="宋体"/>
                <w:b w:val="0"/>
                <w:sz w:val="18"/>
              </w:rPr>
            </w:pPr>
          </w:p>
          <w:p>
            <w:pPr>
              <w:pStyle w:val="16"/>
              <w:ind w:firstLine="450" w:firstLineChars="250"/>
              <w:rPr>
                <w:rFonts w:ascii="宋体" w:hAnsi="宋体" w:eastAsia="宋体"/>
                <w:b w:val="0"/>
                <w:sz w:val="18"/>
              </w:rPr>
            </w:pPr>
            <w:r>
              <w:rPr>
                <w:rFonts w:hint="eastAsia" w:ascii="宋体" w:hAnsi="宋体" w:eastAsia="宋体"/>
                <w:b w:val="0"/>
                <w:sz w:val="18"/>
              </w:rPr>
              <w:t>行业</w:t>
            </w:r>
          </w:p>
        </w:tc>
        <w:tc>
          <w:tcPr>
            <w:tcW w:w="2841" w:type="dxa"/>
            <w:vMerge w:val="restart"/>
            <w:tcBorders>
              <w:top w:val="single" w:color="auto" w:sz="8" w:space="0"/>
              <w:left w:val="single" w:color="auto" w:sz="2" w:space="0"/>
              <w:bottom w:val="single" w:color="auto" w:sz="2" w:space="0"/>
              <w:right w:val="nil"/>
            </w:tcBorders>
            <w:shd w:val="clear" w:color="auto" w:fill="auto"/>
          </w:tcPr>
          <w:p>
            <w:pPr>
              <w:pStyle w:val="16"/>
              <w:rPr>
                <w:rFonts w:ascii="宋体" w:hAnsi="宋体" w:eastAsia="宋体"/>
                <w:b w:val="0"/>
                <w:sz w:val="18"/>
              </w:rPr>
            </w:pPr>
          </w:p>
          <w:p>
            <w:pPr>
              <w:pStyle w:val="16"/>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直接投资额</w:t>
            </w:r>
          </w:p>
        </w:tc>
        <w:tc>
          <w:tcPr>
            <w:tcW w:w="3607" w:type="dxa"/>
            <w:gridSpan w:val="2"/>
            <w:tcBorders>
              <w:top w:val="single" w:color="auto" w:sz="8" w:space="0"/>
              <w:left w:val="nil"/>
              <w:bottom w:val="single" w:color="auto" w:sz="2" w:space="0"/>
              <w:right w:val="nil"/>
            </w:tcBorders>
            <w:shd w:val="clear" w:color="auto" w:fill="auto"/>
          </w:tcPr>
          <w:p>
            <w:pPr>
              <w:pStyle w:val="16"/>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65" w:hRule="atLeast"/>
        </w:trPr>
        <w:tc>
          <w:tcPr>
            <w:tcW w:w="2840" w:type="dxa"/>
            <w:gridSpan w:val="2"/>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sz w:val="18"/>
              </w:rPr>
            </w:pPr>
          </w:p>
        </w:tc>
        <w:tc>
          <w:tcPr>
            <w:tcW w:w="3607" w:type="dxa"/>
            <w:gridSpan w:val="2"/>
            <w:tcBorders>
              <w:top w:val="single" w:color="auto" w:sz="2" w:space="0"/>
              <w:left w:val="single" w:color="auto" w:sz="2" w:space="0"/>
              <w:bottom w:val="single" w:color="auto" w:sz="2" w:space="0"/>
              <w:right w:val="nil"/>
            </w:tcBorders>
            <w:shd w:val="clear" w:color="auto" w:fill="auto"/>
          </w:tcPr>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其中：新增股权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32" w:hRule="atLeast"/>
        </w:trPr>
        <w:tc>
          <w:tcPr>
            <w:tcW w:w="2840" w:type="dxa"/>
            <w:gridSpan w:val="2"/>
            <w:tcBorders>
              <w:top w:val="single" w:color="auto" w:sz="2" w:space="0"/>
              <w:left w:val="nil"/>
              <w:bottom w:val="single" w:color="auto" w:sz="2" w:space="0"/>
              <w:right w:val="single" w:color="auto" w:sz="2" w:space="0"/>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1</w:t>
            </w:r>
          </w:p>
        </w:tc>
        <w:tc>
          <w:tcPr>
            <w:tcW w:w="3607" w:type="dxa"/>
            <w:gridSpan w:val="2"/>
            <w:tcBorders>
              <w:top w:val="single" w:color="auto" w:sz="2" w:space="0"/>
              <w:left w:val="single" w:color="auto" w:sz="2" w:space="0"/>
              <w:bottom w:val="single" w:color="auto" w:sz="2" w:space="0"/>
              <w:right w:val="nil"/>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080" w:hRule="atLeast"/>
        </w:trPr>
        <w:tc>
          <w:tcPr>
            <w:tcW w:w="2840" w:type="dxa"/>
            <w:gridSpan w:val="2"/>
            <w:tcBorders>
              <w:top w:val="single" w:color="auto" w:sz="2" w:space="0"/>
              <w:left w:val="nil"/>
              <w:bottom w:val="single" w:color="auto" w:sz="8" w:space="0"/>
              <w:right w:val="single" w:color="auto" w:sz="2" w:space="0"/>
            </w:tcBorders>
            <w:shd w:val="clear" w:color="auto" w:fill="auto"/>
          </w:tcPr>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合计</w:t>
            </w:r>
          </w:p>
          <w:p>
            <w:pPr>
              <w:pStyle w:val="16"/>
              <w:numPr>
                <w:ilvl w:val="0"/>
                <w:numId w:val="7"/>
              </w:numPr>
              <w:rPr>
                <w:rFonts w:ascii="宋体" w:hAnsi="宋体" w:eastAsia="宋体"/>
                <w:b w:val="0"/>
                <w:sz w:val="18"/>
              </w:rPr>
            </w:pPr>
            <w:r>
              <w:rPr>
                <w:rFonts w:hint="eastAsia" w:ascii="宋体" w:hAnsi="宋体" w:eastAsia="宋体"/>
                <w:b w:val="0"/>
                <w:sz w:val="18"/>
              </w:rPr>
              <w:t>金融业</w:t>
            </w:r>
          </w:p>
          <w:p>
            <w:pPr>
              <w:pStyle w:val="16"/>
              <w:ind w:left="360"/>
              <w:rPr>
                <w:rFonts w:ascii="宋体" w:hAnsi="宋体" w:eastAsia="宋体"/>
                <w:b w:val="0"/>
                <w:sz w:val="18"/>
              </w:rPr>
            </w:pPr>
            <w:r>
              <w:rPr>
                <w:rFonts w:hint="eastAsia" w:ascii="宋体" w:hAnsi="宋体" w:eastAsia="宋体"/>
                <w:b w:val="0"/>
                <w:sz w:val="18"/>
              </w:rPr>
              <w:t>货币金融服务</w:t>
            </w:r>
          </w:p>
          <w:p>
            <w:pPr>
              <w:pStyle w:val="16"/>
              <w:ind w:left="360"/>
              <w:rPr>
                <w:rFonts w:ascii="宋体" w:hAnsi="宋体" w:eastAsia="宋体"/>
                <w:b w:val="0"/>
                <w:sz w:val="18"/>
              </w:rPr>
            </w:pPr>
            <w:r>
              <w:rPr>
                <w:rFonts w:hint="eastAsia" w:ascii="宋体" w:hAnsi="宋体" w:eastAsia="宋体"/>
                <w:b w:val="0"/>
                <w:sz w:val="18"/>
              </w:rPr>
              <w:t>资本市场服务</w:t>
            </w:r>
          </w:p>
          <w:p>
            <w:pPr>
              <w:pStyle w:val="16"/>
              <w:ind w:left="360"/>
              <w:rPr>
                <w:rFonts w:ascii="宋体" w:hAnsi="宋体" w:eastAsia="宋体"/>
                <w:b w:val="0"/>
                <w:sz w:val="18"/>
              </w:rPr>
            </w:pPr>
            <w:r>
              <w:rPr>
                <w:rFonts w:hint="eastAsia" w:ascii="宋体" w:hAnsi="宋体" w:eastAsia="宋体"/>
                <w:b w:val="0"/>
                <w:sz w:val="18"/>
              </w:rPr>
              <w:t>保险业</w:t>
            </w:r>
          </w:p>
          <w:p>
            <w:pPr>
              <w:pStyle w:val="16"/>
              <w:ind w:left="360"/>
              <w:rPr>
                <w:rFonts w:ascii="宋体" w:hAnsi="宋体" w:eastAsia="宋体"/>
                <w:b w:val="0"/>
                <w:sz w:val="18"/>
              </w:rPr>
            </w:pPr>
            <w:r>
              <w:rPr>
                <w:rFonts w:hint="eastAsia" w:ascii="宋体" w:hAnsi="宋体" w:eastAsia="宋体"/>
                <w:b w:val="0"/>
                <w:sz w:val="18"/>
              </w:rPr>
              <w:t>其他金融活动</w:t>
            </w:r>
          </w:p>
          <w:p>
            <w:pPr>
              <w:pStyle w:val="16"/>
              <w:numPr>
                <w:ilvl w:val="0"/>
                <w:numId w:val="7"/>
              </w:numPr>
              <w:rPr>
                <w:rFonts w:ascii="宋体" w:hAnsi="宋体" w:eastAsia="宋体"/>
                <w:b w:val="0"/>
                <w:sz w:val="18"/>
              </w:rPr>
            </w:pPr>
            <w:r>
              <w:rPr>
                <w:rFonts w:hint="eastAsia" w:ascii="宋体" w:hAnsi="宋体" w:eastAsia="宋体"/>
                <w:b w:val="0"/>
                <w:sz w:val="18"/>
              </w:rPr>
              <w:t>非金融业</w:t>
            </w:r>
          </w:p>
          <w:p>
            <w:pPr>
              <w:pStyle w:val="16"/>
              <w:ind w:firstLine="352" w:firstLineChars="196"/>
              <w:rPr>
                <w:rFonts w:ascii="宋体" w:hAnsi="宋体" w:eastAsia="宋体"/>
                <w:b w:val="0"/>
                <w:sz w:val="18"/>
              </w:rPr>
            </w:pPr>
            <w:r>
              <w:rPr>
                <w:rFonts w:hint="eastAsia" w:ascii="宋体" w:hAnsi="宋体" w:eastAsia="宋体"/>
                <w:b w:val="0"/>
                <w:sz w:val="18"/>
              </w:rPr>
              <w:t>按国民经济经济行业分组</w:t>
            </w:r>
          </w:p>
          <w:p>
            <w:pPr>
              <w:pStyle w:val="16"/>
              <w:ind w:firstLine="352" w:firstLineChars="196"/>
              <w:rPr>
                <w:rFonts w:ascii="宋体" w:hAnsi="宋体" w:eastAsia="宋体"/>
                <w:b w:val="0"/>
                <w:sz w:val="18"/>
              </w:rPr>
            </w:pPr>
          </w:p>
          <w:p>
            <w:pPr>
              <w:pStyle w:val="16"/>
              <w:ind w:firstLine="352" w:firstLineChars="196"/>
              <w:rPr>
                <w:rFonts w:ascii="宋体" w:hAnsi="宋体" w:eastAsia="宋体"/>
                <w:b w:val="0"/>
                <w:sz w:val="18"/>
              </w:rPr>
            </w:pPr>
          </w:p>
          <w:p>
            <w:pPr>
              <w:pStyle w:val="16"/>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shd w:val="clear" w:color="auto" w:fill="auto"/>
          </w:tcPr>
          <w:p>
            <w:pPr>
              <w:pStyle w:val="16"/>
              <w:rPr>
                <w:rFonts w:ascii="宋体" w:hAnsi="宋体" w:eastAsia="宋体"/>
                <w:b w:val="0"/>
                <w:sz w:val="18"/>
              </w:rPr>
            </w:pPr>
          </w:p>
        </w:tc>
        <w:tc>
          <w:tcPr>
            <w:tcW w:w="3607" w:type="dxa"/>
            <w:gridSpan w:val="2"/>
            <w:tcBorders>
              <w:top w:val="single" w:color="auto" w:sz="2" w:space="0"/>
              <w:left w:val="nil"/>
              <w:bottom w:val="single" w:color="auto" w:sz="8" w:space="0"/>
              <w:right w:val="nil"/>
            </w:tcBorders>
            <w:shd w:val="clear" w:color="auto" w:fill="auto"/>
          </w:tcPr>
          <w:p>
            <w:pPr>
              <w:pStyle w:val="16"/>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pStyle w:val="16"/>
        <w:rPr>
          <w:rFonts w:ascii="宋体" w:hAnsi="宋体" w:eastAsia="宋体"/>
          <w:b w:val="0"/>
          <w:sz w:val="18"/>
        </w:rPr>
      </w:pPr>
    </w:p>
    <w:p>
      <w:pPr>
        <w:rPr>
          <w:rFonts w:ascii="宋体" w:hAnsi="宋体"/>
          <w:sz w:val="18"/>
        </w:rPr>
      </w:pPr>
      <w:r>
        <w:rPr>
          <w:rFonts w:hint="eastAsia" w:ascii="宋体" w:hAnsi="宋体"/>
          <w:sz w:val="18"/>
        </w:rPr>
        <w:t>说明：1.本表综合反映报告期我国金融业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本表由国家外汇管理局于月后</w:t>
      </w:r>
      <w:r>
        <w:rPr>
          <w:rFonts w:hAnsi="宋体"/>
          <w:sz w:val="18"/>
        </w:rPr>
        <w:t>15</w:t>
      </w:r>
      <w:r>
        <w:rPr>
          <w:rFonts w:hint="eastAsia" w:hAnsi="宋体"/>
          <w:sz w:val="18"/>
        </w:rPr>
        <w:t>日内向商务部提供。</w:t>
      </w:r>
    </w:p>
    <w:p>
      <w:pPr>
        <w:ind w:firstLine="540"/>
        <w:rPr>
          <w:rFonts w:ascii="宋体" w:hAnsi="宋体"/>
          <w:sz w:val="18"/>
        </w:rPr>
      </w:pPr>
      <w:r>
        <w:rPr>
          <w:rFonts w:hint="eastAsia" w:ascii="宋体" w:hAnsi="宋体"/>
          <w:sz w:val="18"/>
        </w:rPr>
        <w:t>3</w:t>
      </w:r>
      <w:r>
        <w:rPr>
          <w:rFonts w:hAnsi="宋体"/>
          <w:sz w:val="18"/>
        </w:rPr>
        <w:t xml:space="preserve">. </w:t>
      </w:r>
      <w:r>
        <w:rPr>
          <w:rFonts w:hint="eastAsia" w:hAnsi="宋体"/>
          <w:sz w:val="18"/>
        </w:rPr>
        <w:t>行业类别见附录一。</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pStyle w:val="16"/>
        <w:jc w:val="center"/>
        <w:rPr>
          <w:rFonts w:ascii="宋体" w:hAnsi="宋体" w:eastAsia="宋体"/>
          <w:sz w:val="32"/>
          <w:szCs w:val="32"/>
        </w:rPr>
      </w:pPr>
      <w:bookmarkStart w:id="1" w:name="_Toc20971991"/>
      <w:r>
        <w:rPr>
          <w:rFonts w:hint="eastAsia" w:ascii="宋体" w:hAnsi="宋体" w:eastAsia="宋体"/>
          <w:sz w:val="32"/>
          <w:szCs w:val="32"/>
        </w:rPr>
        <w:br w:type="page"/>
      </w:r>
    </w:p>
    <w:p>
      <w:pPr>
        <w:pStyle w:val="16"/>
        <w:jc w:val="center"/>
        <w:rPr>
          <w:rFonts w:ascii="宋体" w:hAnsi="宋体" w:eastAsia="宋体"/>
          <w:b w:val="0"/>
          <w:sz w:val="18"/>
        </w:rPr>
      </w:pPr>
      <w:r>
        <w:rPr>
          <w:rFonts w:hint="eastAsia" w:ascii="宋体" w:hAnsi="宋体" w:eastAsia="宋体"/>
          <w:sz w:val="32"/>
          <w:szCs w:val="32"/>
        </w:rPr>
        <w:t>（二）基层报表</w:t>
      </w:r>
    </w:p>
    <w:p>
      <w:pPr>
        <w:pStyle w:val="16"/>
        <w:jc w:val="center"/>
        <w:rPr>
          <w:rFonts w:ascii="宋体" w:hAnsi="宋体" w:eastAsia="宋体"/>
          <w:bCs/>
          <w:sz w:val="32"/>
        </w:rPr>
      </w:pPr>
      <w:r>
        <w:rPr>
          <w:rFonts w:hint="eastAsia" w:ascii="宋体" w:hAnsi="宋体" w:eastAsia="宋体"/>
          <w:bCs/>
          <w:sz w:val="32"/>
        </w:rPr>
        <w:t>境内投资者基本情况</w:t>
      </w:r>
      <w:bookmarkEnd w:id="1"/>
    </w:p>
    <w:tbl>
      <w:tblPr>
        <w:tblStyle w:val="11"/>
        <w:tblW w:w="9725" w:type="dxa"/>
        <w:tblInd w:w="0" w:type="dxa"/>
        <w:tblLayout w:type="fixed"/>
        <w:tblCellMar>
          <w:top w:w="0" w:type="dxa"/>
          <w:left w:w="108" w:type="dxa"/>
          <w:bottom w:w="0" w:type="dxa"/>
          <w:right w:w="108" w:type="dxa"/>
        </w:tblCellMar>
      </w:tblPr>
      <w:tblGrid>
        <w:gridCol w:w="4623"/>
        <w:gridCol w:w="1425"/>
        <w:gridCol w:w="587"/>
        <w:gridCol w:w="3013"/>
        <w:gridCol w:w="77"/>
      </w:tblGrid>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1表</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eastAsia="宋体"/>
                <w:sz w:val="18"/>
              </w:rPr>
            </w:pP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635" w:type="dxa"/>
            <w:gridSpan w:val="3"/>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90" w:type="dxa"/>
            <w:gridSpan w:val="2"/>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w:t>
            </w:r>
            <w:r>
              <w:rPr>
                <w:rFonts w:hint="eastAsia" w:ascii="宋体" w:hAnsi="宋体" w:eastAsia="宋体"/>
                <w:sz w:val="18"/>
              </w:rPr>
              <w:t>人民币千元、人、个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567" w:hRule="atLeast"/>
        </w:trPr>
        <w:tc>
          <w:tcPr>
            <w:tcW w:w="4623" w:type="dxa"/>
            <w:tcBorders>
              <w:top w:val="single" w:color="auto" w:sz="8" w:space="0"/>
              <w:left w:val="nil"/>
              <w:bottom w:val="single" w:color="auto" w:sz="2" w:space="0"/>
              <w:right w:val="single" w:color="auto" w:sz="2" w:space="0"/>
            </w:tcBorders>
            <w:vAlign w:val="center"/>
          </w:tcPr>
          <w:p>
            <w:pPr>
              <w:jc w:val="center"/>
              <w:rPr>
                <w:rFonts w:ascii="宋体" w:hAnsi="宋体"/>
                <w:sz w:val="18"/>
              </w:rPr>
            </w:pPr>
            <w:bookmarkStart w:id="2" w:name="OLE_LINK1"/>
            <w:r>
              <w:rPr>
                <w:rFonts w:hint="eastAsia" w:ascii="宋体" w:hAnsi="宋体"/>
                <w:sz w:val="18"/>
              </w:rPr>
              <w:t>指标</w:t>
            </w:r>
          </w:p>
        </w:tc>
        <w:tc>
          <w:tcPr>
            <w:tcW w:w="1425"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代码</w:t>
            </w:r>
          </w:p>
        </w:tc>
        <w:tc>
          <w:tcPr>
            <w:tcW w:w="3600" w:type="dxa"/>
            <w:gridSpan w:val="2"/>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数值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397" w:hRule="atLeast"/>
        </w:trPr>
        <w:tc>
          <w:tcPr>
            <w:tcW w:w="4623"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42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3600" w:type="dxa"/>
            <w:gridSpan w:val="2"/>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p>
        </w:tc>
      </w:tr>
      <w:bookmarkEnd w:id="2"/>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single" w:color="auto" w:sz="2" w:space="0"/>
              <w:left w:val="nil"/>
              <w:bottom w:val="nil"/>
              <w:right w:val="single" w:color="auto" w:sz="2" w:space="0"/>
            </w:tcBorders>
            <w:vAlign w:val="center"/>
          </w:tcPr>
          <w:p>
            <w:pPr>
              <w:rPr>
                <w:rFonts w:ascii="宋体" w:hAnsi="宋体" w:eastAsia="宋体"/>
                <w:sz w:val="18"/>
              </w:rPr>
            </w:pPr>
            <w:r>
              <w:rPr>
                <w:rFonts w:hint="eastAsia" w:ascii="宋体" w:hAnsi="宋体"/>
                <w:sz w:val="18"/>
              </w:rPr>
              <w:t>资产总计</w:t>
            </w:r>
          </w:p>
        </w:tc>
        <w:tc>
          <w:tcPr>
            <w:tcW w:w="1425" w:type="dxa"/>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1</w:t>
            </w:r>
          </w:p>
        </w:tc>
        <w:tc>
          <w:tcPr>
            <w:tcW w:w="3600" w:type="dxa"/>
            <w:gridSpan w:val="2"/>
            <w:tcBorders>
              <w:top w:val="single" w:color="auto" w:sz="2" w:space="0"/>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负债合计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2</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所有者权益合计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3</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营业收入</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4</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利润总额</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5</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年末从业人员数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6</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年末境外直接投资企业家数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7</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180"/>
              <w:rPr>
                <w:rFonts w:ascii="宋体" w:hAnsi="宋体"/>
                <w:sz w:val="18"/>
              </w:rPr>
            </w:pPr>
            <w:r>
              <w:rPr>
                <w:rFonts w:hint="eastAsia" w:ascii="宋体" w:hAnsi="宋体"/>
                <w:sz w:val="18"/>
              </w:rPr>
              <w:t>其中：子公司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8</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720"/>
              <w:rPr>
                <w:rFonts w:ascii="宋体" w:hAnsi="宋体"/>
                <w:sz w:val="18"/>
              </w:rPr>
            </w:pPr>
            <w:r>
              <w:rPr>
                <w:rFonts w:hint="eastAsia" w:ascii="宋体" w:hAnsi="宋体"/>
                <w:sz w:val="18"/>
              </w:rPr>
              <w:t>联营公司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9</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single" w:color="auto" w:sz="8" w:space="0"/>
              <w:right w:val="single" w:color="auto" w:sz="2" w:space="0"/>
            </w:tcBorders>
            <w:vAlign w:val="center"/>
          </w:tcPr>
          <w:p>
            <w:pPr>
              <w:ind w:firstLine="720"/>
              <w:rPr>
                <w:rFonts w:ascii="宋体" w:hAnsi="宋体"/>
                <w:sz w:val="18"/>
              </w:rPr>
            </w:pPr>
            <w:r>
              <w:rPr>
                <w:rFonts w:hint="eastAsia" w:ascii="宋体" w:hAnsi="宋体"/>
                <w:sz w:val="18"/>
              </w:rPr>
              <w:t>分支机构</w:t>
            </w:r>
          </w:p>
        </w:tc>
        <w:tc>
          <w:tcPr>
            <w:tcW w:w="1425" w:type="dxa"/>
            <w:tcBorders>
              <w:top w:val="nil"/>
              <w:left w:val="single" w:color="auto" w:sz="2" w:space="0"/>
              <w:bottom w:val="single" w:color="auto" w:sz="8" w:space="0"/>
              <w:right w:val="single" w:color="auto" w:sz="2" w:space="0"/>
            </w:tcBorders>
            <w:vAlign w:val="center"/>
          </w:tcPr>
          <w:p>
            <w:pPr>
              <w:jc w:val="center"/>
              <w:rPr>
                <w:rFonts w:ascii="宋体" w:hAnsi="宋体"/>
                <w:sz w:val="18"/>
              </w:rPr>
            </w:pPr>
            <w:r>
              <w:rPr>
                <w:rFonts w:hint="eastAsia" w:ascii="宋体" w:hAnsi="宋体"/>
                <w:sz w:val="18"/>
              </w:rPr>
              <w:t>10</w:t>
            </w:r>
          </w:p>
        </w:tc>
        <w:tc>
          <w:tcPr>
            <w:tcW w:w="3600" w:type="dxa"/>
            <w:gridSpan w:val="2"/>
            <w:tcBorders>
              <w:top w:val="nil"/>
              <w:left w:val="single" w:color="auto" w:sz="2" w:space="0"/>
              <w:bottom w:val="single" w:color="auto" w:sz="8" w:space="0"/>
              <w:right w:val="nil"/>
            </w:tcBorders>
            <w:vAlign w:val="center"/>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 2 0　年　月　日</w:t>
      </w:r>
    </w:p>
    <w:p>
      <w:pPr>
        <w:rPr>
          <w:rFonts w:ascii="宋体" w:hAnsi="宋体"/>
          <w:sz w:val="18"/>
        </w:rPr>
      </w:pPr>
      <w:r>
        <w:rPr>
          <w:rFonts w:hint="eastAsia" w:ascii="宋体" w:hAnsi="宋体"/>
          <w:sz w:val="18"/>
        </w:rPr>
        <w:t>说明：1.本表反映报告年度拥有境外企业的境内投资者基本情况。中央企业、单位由集团总部填报合并口径数据。</w:t>
      </w:r>
    </w:p>
    <w:p>
      <w:pPr>
        <w:ind w:firstLine="540"/>
        <w:rPr>
          <w:rFonts w:ascii="宋体" w:hAnsi="宋体"/>
          <w:sz w:val="18"/>
        </w:rPr>
      </w:pPr>
      <w:r>
        <w:rPr>
          <w:rFonts w:hint="eastAsia" w:ascii="宋体" w:hAnsi="宋体"/>
          <w:sz w:val="18"/>
        </w:rPr>
        <w:t>2.本表由非金融业境内投资者于年后</w:t>
      </w:r>
      <w:r>
        <w:rPr>
          <w:rFonts w:ascii="宋体" w:hAnsi="宋体"/>
          <w:sz w:val="18"/>
        </w:rPr>
        <w:t>6</w:t>
      </w:r>
      <w:r>
        <w:rPr>
          <w:rFonts w:hint="eastAsia" w:ascii="宋体" w:hAnsi="宋体"/>
          <w:sz w:val="18"/>
        </w:rPr>
        <w:t>月</w:t>
      </w:r>
      <w:r>
        <w:rPr>
          <w:rFonts w:ascii="宋体" w:hAnsi="宋体"/>
          <w:sz w:val="18"/>
        </w:rPr>
        <w:t>20</w:t>
      </w:r>
      <w:r>
        <w:rPr>
          <w:rFonts w:hint="eastAsia" w:ascii="宋体" w:hAnsi="宋体"/>
          <w:sz w:val="18"/>
        </w:rPr>
        <w:t>日前报当地省级商务主管部门或商务部。</w:t>
      </w:r>
    </w:p>
    <w:p>
      <w:pPr>
        <w:ind w:firstLine="540"/>
        <w:rPr>
          <w:rFonts w:ascii="宋体" w:hAnsi="宋体"/>
          <w:sz w:val="18"/>
          <w:szCs w:val="18"/>
        </w:rPr>
      </w:pPr>
      <w:r>
        <w:rPr>
          <w:rFonts w:hint="eastAsia" w:ascii="宋体" w:hAnsi="宋体"/>
          <w:sz w:val="18"/>
        </w:rPr>
        <w:t>3.统一社会信用代码：</w:t>
      </w:r>
      <w:r>
        <w:rPr>
          <w:rFonts w:hint="eastAsia" w:ascii="宋体" w:hAnsi="宋体"/>
          <w:sz w:val="18"/>
          <w:szCs w:val="18"/>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pPr>
        <w:ind w:firstLine="540"/>
        <w:rPr>
          <w:rFonts w:ascii="宋体" w:hAnsi="宋体"/>
          <w:sz w:val="18"/>
        </w:rPr>
      </w:pPr>
      <w:r>
        <w:rPr>
          <w:rFonts w:hint="eastAsia" w:ascii="宋体" w:hAnsi="宋体"/>
          <w:sz w:val="18"/>
        </w:rPr>
        <w:t>4.单位所属行业代码（见附录一）。</w:t>
      </w:r>
    </w:p>
    <w:p>
      <w:pPr>
        <w:ind w:firstLine="540"/>
        <w:rPr>
          <w:rFonts w:ascii="宋体" w:hAnsi="宋体"/>
          <w:sz w:val="18"/>
        </w:rPr>
      </w:pPr>
      <w:r>
        <w:rPr>
          <w:rFonts w:hint="eastAsia" w:ascii="宋体" w:hAnsi="宋体"/>
          <w:sz w:val="18"/>
        </w:rPr>
        <w:t>5.企业登记注册类型：根据单位生产资料所有制性质和国家有关法规性文件对企业进行的分类。其中企业按在工商行政管理部门登记注册的经济性质填写，行政事业单位参照该标准填写（见附录二）。</w:t>
      </w:r>
    </w:p>
    <w:p>
      <w:pPr>
        <w:ind w:firstLine="540"/>
        <w:rPr>
          <w:rFonts w:ascii="宋体" w:hAnsi="宋体"/>
          <w:sz w:val="18"/>
        </w:rPr>
      </w:pPr>
      <w:r>
        <w:rPr>
          <w:rFonts w:hint="eastAsia" w:ascii="宋体" w:hAnsi="宋体"/>
          <w:sz w:val="18"/>
        </w:rPr>
        <w:t>6.企业所有制性质（见附录三）。</w:t>
      </w:r>
    </w:p>
    <w:p>
      <w:pPr>
        <w:ind w:firstLine="540"/>
        <w:rPr>
          <w:rFonts w:ascii="宋体" w:hAnsi="宋体"/>
          <w:sz w:val="18"/>
        </w:rPr>
      </w:pPr>
      <w:r>
        <w:rPr>
          <w:rFonts w:hint="eastAsia" w:ascii="宋体" w:hAnsi="宋体"/>
          <w:sz w:val="18"/>
        </w:rPr>
        <w:t>7.资产总计、负债合计、所有者权益合计：分别根据填报单位企业年终会计报表“资产负债表”中“资产总计”、“负债合计”、“所有者权益合计”项目的年末数填列。</w:t>
      </w:r>
    </w:p>
    <w:p>
      <w:pPr>
        <w:ind w:firstLine="540"/>
        <w:rPr>
          <w:rFonts w:ascii="宋体" w:hAnsi="宋体"/>
          <w:sz w:val="18"/>
        </w:rPr>
      </w:pPr>
      <w:r>
        <w:rPr>
          <w:rFonts w:hint="eastAsia" w:ascii="宋体" w:hAnsi="宋体"/>
          <w:sz w:val="18"/>
        </w:rPr>
        <w:t>8.营业收入总额、当年利润总额：分别根据填报单位企业年终会计报表“损益表”中“营业收入总额”、“当年利润总额”项目的数值填列。</w:t>
      </w:r>
    </w:p>
    <w:p>
      <w:pPr>
        <w:ind w:firstLine="540"/>
        <w:rPr>
          <w:rFonts w:ascii="宋体" w:hAnsi="宋体"/>
          <w:sz w:val="18"/>
        </w:rPr>
      </w:pPr>
      <w:r>
        <w:rPr>
          <w:rFonts w:hint="eastAsia" w:ascii="宋体" w:hAnsi="宋体"/>
          <w:sz w:val="18"/>
        </w:rPr>
        <w:t>9.年末从业人员数：是指年末境内投资者所有登记在册的从业人员，但不包括境外企业的从业人员。</w:t>
      </w:r>
    </w:p>
    <w:p>
      <w:pPr>
        <w:ind w:firstLine="540"/>
        <w:rPr>
          <w:rFonts w:ascii="宋体" w:hAnsi="宋体"/>
          <w:sz w:val="18"/>
        </w:rPr>
      </w:pPr>
      <w:r>
        <w:rPr>
          <w:rFonts w:hint="eastAsia" w:ascii="宋体" w:hAnsi="宋体"/>
          <w:sz w:val="18"/>
        </w:rPr>
        <w:t>10.年末境外直接投资企业个数：指填报单位在报告年度年末直接拥有或控制10%或以上的投票权（对公司型企业）或其他等价利益(对非公司型企业)的一级境外企业数目。</w:t>
      </w:r>
    </w:p>
    <w:p>
      <w:pPr>
        <w:pStyle w:val="2"/>
        <w:tabs>
          <w:tab w:val="left" w:pos="540"/>
        </w:tabs>
        <w:ind w:firstLine="0"/>
        <w:rPr>
          <w:rFonts w:ascii="宋体"/>
          <w:sz w:val="18"/>
          <w:shd w:val="pct10" w:color="auto" w:fill="FFFFFF"/>
        </w:rPr>
      </w:pPr>
      <w:r>
        <w:rPr>
          <w:rFonts w:hint="eastAsia" w:ascii="宋体"/>
          <w:sz w:val="18"/>
        </w:rPr>
        <w:t xml:space="preserve">      11.境内投资者可将境外企业基本信息采集表（见附录五）发放至下属境外企业填报涉及对外直接投资统计内容。</w:t>
      </w:r>
    </w:p>
    <w:p>
      <w:pPr>
        <w:pStyle w:val="16"/>
        <w:jc w:val="center"/>
        <w:rPr>
          <w:rFonts w:ascii="宋体" w:hAnsi="宋体" w:eastAsia="宋体"/>
          <w:bCs/>
          <w:sz w:val="32"/>
        </w:rPr>
      </w:pPr>
      <w:r>
        <w:rPr>
          <w:rFonts w:hint="eastAsia" w:ascii="宋体" w:hAnsi="宋体" w:eastAsia="宋体"/>
          <w:bCs/>
          <w:sz w:val="32"/>
        </w:rPr>
        <w:t>境外企业基本情况</w:t>
      </w:r>
    </w:p>
    <w:tbl>
      <w:tblPr>
        <w:tblStyle w:val="11"/>
        <w:tblW w:w="9690" w:type="dxa"/>
        <w:tblInd w:w="21" w:type="dxa"/>
        <w:tblLayout w:type="fixed"/>
        <w:tblCellMar>
          <w:top w:w="0" w:type="dxa"/>
          <w:left w:w="108" w:type="dxa"/>
          <w:bottom w:w="0" w:type="dxa"/>
          <w:right w:w="108" w:type="dxa"/>
        </w:tblCellMar>
      </w:tblPr>
      <w:tblGrid>
        <w:gridCol w:w="1605"/>
        <w:gridCol w:w="999"/>
        <w:gridCol w:w="720"/>
        <w:gridCol w:w="900"/>
        <w:gridCol w:w="825"/>
        <w:gridCol w:w="992"/>
        <w:gridCol w:w="573"/>
        <w:gridCol w:w="136"/>
        <w:gridCol w:w="850"/>
        <w:gridCol w:w="944"/>
        <w:gridCol w:w="1146"/>
      </w:tblGrid>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2表</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76"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614"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76"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05"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99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所在国家（地区）及城市</w:t>
            </w: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82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992"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是否属文化及相关产业</w:t>
            </w:r>
          </w:p>
          <w:p>
            <w:pPr>
              <w:jc w:val="center"/>
              <w:rPr>
                <w:sz w:val="18"/>
              </w:rPr>
            </w:pPr>
          </w:p>
        </w:tc>
        <w:tc>
          <w:tcPr>
            <w:tcW w:w="70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当前</w:t>
            </w:r>
          </w:p>
          <w:p>
            <w:pPr>
              <w:jc w:val="center"/>
              <w:rPr>
                <w:sz w:val="18"/>
              </w:rPr>
            </w:pPr>
            <w:r>
              <w:rPr>
                <w:rFonts w:hint="eastAsia"/>
                <w:sz w:val="18"/>
              </w:rPr>
              <w:t>状态</w:t>
            </w:r>
          </w:p>
        </w:tc>
        <w:tc>
          <w:tcPr>
            <w:tcW w:w="85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中方持股比例（</w:t>
            </w:r>
            <w:r>
              <w:rPr>
                <w:sz w:val="18"/>
              </w:rPr>
              <w:t>%</w:t>
            </w:r>
            <w:r>
              <w:rPr>
                <w:rFonts w:hint="eastAsia"/>
                <w:sz w:val="18"/>
              </w:rPr>
              <w:t>）</w:t>
            </w:r>
          </w:p>
        </w:tc>
        <w:tc>
          <w:tcPr>
            <w:tcW w:w="944"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年末从业人员数</w:t>
            </w:r>
          </w:p>
        </w:tc>
        <w:tc>
          <w:tcPr>
            <w:tcW w:w="1146"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9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4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146"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5"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82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9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ascii="Arial" w:hAnsi="Arial" w:cs="Arial"/>
                <w:color w:val="333333"/>
                <w:sz w:val="18"/>
                <w:szCs w:val="18"/>
              </w:rPr>
              <w:t>庚</w:t>
            </w: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94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46"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605"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境外企业</w:t>
            </w:r>
          </w:p>
          <w:p>
            <w:pPr>
              <w:rPr>
                <w:sz w:val="18"/>
              </w:rPr>
            </w:pPr>
          </w:p>
        </w:tc>
        <w:tc>
          <w:tcPr>
            <w:tcW w:w="8085" w:type="dxa"/>
            <w:gridSpan w:val="10"/>
            <w:tcBorders>
              <w:top w:val="single" w:color="auto" w:sz="2" w:space="0"/>
              <w:left w:val="single" w:color="auto" w:sz="2" w:space="0"/>
              <w:bottom w:val="single" w:color="auto" w:sz="8" w:space="0"/>
              <w:right w:val="nil"/>
            </w:tcBorders>
            <w:vAlign w:val="center"/>
          </w:tcPr>
          <w:p>
            <w:pPr>
              <w:rPr>
                <w:sz w:val="18"/>
              </w:rPr>
            </w:pPr>
          </w:p>
        </w:tc>
      </w:tr>
    </w:tbl>
    <w:p>
      <w:pPr>
        <w:rPr>
          <w:sz w:val="18"/>
        </w:rPr>
      </w:pPr>
      <w:r>
        <w:rPr>
          <w:rFonts w:hint="eastAsia"/>
          <w:sz w:val="18"/>
        </w:rPr>
        <w:t>续表</w:t>
      </w:r>
    </w:p>
    <w:tbl>
      <w:tblPr>
        <w:tblStyle w:val="11"/>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15"/>
        <w:gridCol w:w="892"/>
        <w:gridCol w:w="777"/>
        <w:gridCol w:w="1086"/>
        <w:gridCol w:w="931"/>
        <w:gridCol w:w="1130"/>
        <w:gridCol w:w="684"/>
        <w:gridCol w:w="130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795" w:type="dxa"/>
            <w:vMerge w:val="restart"/>
            <w:tcBorders>
              <w:top w:val="single" w:color="auto" w:sz="8" w:space="0"/>
              <w:left w:val="nil"/>
              <w:bottom w:val="single" w:color="auto" w:sz="2" w:space="0"/>
              <w:right w:val="single" w:color="auto" w:sz="2" w:space="0"/>
            </w:tcBorders>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815" w:type="dxa"/>
            <w:vMerge w:val="restart"/>
            <w:tcBorders>
              <w:top w:val="single" w:color="auto" w:sz="8" w:space="0"/>
              <w:left w:val="single" w:color="auto" w:sz="2" w:space="0"/>
              <w:bottom w:val="single" w:color="auto" w:sz="2" w:space="0"/>
              <w:right w:val="nil"/>
            </w:tcBorders>
            <w:vAlign w:val="center"/>
          </w:tcPr>
          <w:p>
            <w:pPr>
              <w:rPr>
                <w:sz w:val="18"/>
              </w:rPr>
            </w:pPr>
            <w:r>
              <w:rPr>
                <w:rFonts w:hint="eastAsia"/>
                <w:sz w:val="18"/>
              </w:rPr>
              <w:t>负债</w:t>
            </w:r>
          </w:p>
          <w:p>
            <w:pPr>
              <w:rPr>
                <w:rFonts w:eastAsia="宋体"/>
                <w:sz w:val="18"/>
              </w:rPr>
            </w:pPr>
            <w:r>
              <w:rPr>
                <w:rFonts w:hint="eastAsia"/>
                <w:sz w:val="18"/>
              </w:rPr>
              <w:t>合计</w:t>
            </w:r>
          </w:p>
        </w:tc>
        <w:tc>
          <w:tcPr>
            <w:tcW w:w="892" w:type="dxa"/>
            <w:tcBorders>
              <w:top w:val="single" w:color="auto" w:sz="8" w:space="0"/>
              <w:left w:val="nil"/>
              <w:bottom w:val="single" w:color="auto" w:sz="2" w:space="0"/>
              <w:right w:val="single" w:color="auto" w:sz="2" w:space="0"/>
            </w:tcBorders>
            <w:vAlign w:val="center"/>
          </w:tcPr>
          <w:p>
            <w:pPr>
              <w:rPr>
                <w:sz w:val="18"/>
              </w:rPr>
            </w:pPr>
          </w:p>
        </w:tc>
        <w:tc>
          <w:tcPr>
            <w:tcW w:w="777" w:type="dxa"/>
            <w:vMerge w:val="restart"/>
            <w:tcBorders>
              <w:top w:val="single" w:color="auto" w:sz="8" w:space="0"/>
              <w:left w:val="single" w:color="auto" w:sz="2" w:space="0"/>
              <w:bottom w:val="single" w:color="auto" w:sz="2" w:space="0"/>
              <w:right w:val="nil"/>
            </w:tcBorders>
            <w:vAlign w:val="center"/>
          </w:tcPr>
          <w:p>
            <w:pPr>
              <w:jc w:val="center"/>
              <w:rPr>
                <w:sz w:val="18"/>
              </w:rPr>
            </w:pPr>
          </w:p>
          <w:p>
            <w:pPr>
              <w:jc w:val="center"/>
              <w:rPr>
                <w:rFonts w:eastAsia="宋体"/>
                <w:sz w:val="18"/>
              </w:rPr>
            </w:pPr>
            <w:r>
              <w:rPr>
                <w:rFonts w:hint="eastAsia"/>
                <w:sz w:val="18"/>
              </w:rPr>
              <w:t>所有者权益合计</w:t>
            </w:r>
          </w:p>
          <w:p>
            <w:pPr>
              <w:jc w:val="center"/>
              <w:rPr>
                <w:sz w:val="18"/>
              </w:rPr>
            </w:pPr>
          </w:p>
        </w:tc>
        <w:tc>
          <w:tcPr>
            <w:tcW w:w="2017" w:type="dxa"/>
            <w:gridSpan w:val="2"/>
            <w:tcBorders>
              <w:top w:val="single" w:color="auto" w:sz="8" w:space="0"/>
              <w:left w:val="nil"/>
              <w:bottom w:val="single" w:color="auto" w:sz="2" w:space="0"/>
              <w:right w:val="single" w:color="auto" w:sz="2" w:space="0"/>
            </w:tcBorders>
            <w:vAlign w:val="center"/>
          </w:tcPr>
          <w:p>
            <w:pPr>
              <w:jc w:val="center"/>
              <w:rPr>
                <w:sz w:val="18"/>
              </w:rPr>
            </w:pPr>
          </w:p>
        </w:tc>
        <w:tc>
          <w:tcPr>
            <w:tcW w:w="113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销售</w:t>
            </w:r>
          </w:p>
          <w:p>
            <w:pPr>
              <w:jc w:val="center"/>
              <w:rPr>
                <w:sz w:val="18"/>
              </w:rPr>
            </w:pPr>
            <w:r>
              <w:rPr>
                <w:rFonts w:hint="eastAsia"/>
                <w:sz w:val="18"/>
              </w:rPr>
              <w:t>（营业）</w:t>
            </w:r>
          </w:p>
          <w:p>
            <w:pPr>
              <w:jc w:val="center"/>
              <w:rPr>
                <w:sz w:val="18"/>
              </w:rPr>
            </w:pPr>
            <w:r>
              <w:rPr>
                <w:rFonts w:hint="eastAsia"/>
                <w:sz w:val="18"/>
              </w:rPr>
              <w:t>收入总额</w:t>
            </w:r>
          </w:p>
        </w:tc>
        <w:tc>
          <w:tcPr>
            <w:tcW w:w="1985" w:type="dxa"/>
            <w:gridSpan w:val="2"/>
            <w:vMerge w:val="restart"/>
            <w:tcBorders>
              <w:top w:val="single" w:color="auto" w:sz="8" w:space="0"/>
              <w:left w:val="single" w:color="auto" w:sz="2" w:space="0"/>
              <w:bottom w:val="nil"/>
              <w:right w:val="single" w:color="auto" w:sz="2" w:space="0"/>
            </w:tcBorders>
            <w:vAlign w:val="center"/>
          </w:tcPr>
          <w:p>
            <w:pPr>
              <w:jc w:val="center"/>
              <w:rPr>
                <w:sz w:val="18"/>
              </w:rPr>
            </w:pPr>
            <w:r>
              <w:rPr>
                <w:rFonts w:hint="eastAsia"/>
                <w:sz w:val="18"/>
              </w:rPr>
              <w:t>利润总额</w:t>
            </w:r>
          </w:p>
        </w:tc>
        <w:tc>
          <w:tcPr>
            <w:tcW w:w="1291"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对所在国家（地区）缴纳</w:t>
            </w:r>
          </w:p>
          <w:p>
            <w:pPr>
              <w:jc w:val="center"/>
              <w:rPr>
                <w:sz w:val="18"/>
              </w:rPr>
            </w:pPr>
            <w:r>
              <w:rPr>
                <w:rFonts w:hint="eastAsia"/>
                <w:sz w:val="18"/>
              </w:rPr>
              <w:t>税金总额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79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92" w:type="dxa"/>
            <w:vMerge w:val="restart"/>
            <w:tcBorders>
              <w:top w:val="single" w:color="auto" w:sz="2" w:space="0"/>
              <w:left w:val="single" w:color="auto" w:sz="2" w:space="0"/>
              <w:bottom w:val="single" w:color="auto" w:sz="2" w:space="0"/>
              <w:right w:val="single" w:color="auto" w:sz="2" w:space="0"/>
            </w:tcBorders>
            <w:vAlign w:val="center"/>
          </w:tcPr>
          <w:p>
            <w:pPr>
              <w:rPr>
                <w:sz w:val="18"/>
              </w:rPr>
            </w:pPr>
            <w:r>
              <w:rPr>
                <w:rFonts w:hint="eastAsia"/>
                <w:sz w:val="18"/>
              </w:rPr>
              <w:t>对境内投资者的负债</w:t>
            </w: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86"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实收资本</w:t>
            </w:r>
          </w:p>
          <w:p>
            <w:pPr>
              <w:jc w:val="center"/>
              <w:rPr>
                <w:sz w:val="18"/>
              </w:rPr>
            </w:pPr>
            <w:r>
              <w:rPr>
                <w:rFonts w:hint="eastAsia"/>
                <w:sz w:val="18"/>
              </w:rPr>
              <w:t>（中方）</w:t>
            </w:r>
          </w:p>
        </w:tc>
        <w:tc>
          <w:tcPr>
            <w:tcW w:w="931"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未分配</w:t>
            </w:r>
          </w:p>
          <w:p>
            <w:pPr>
              <w:jc w:val="center"/>
              <w:rPr>
                <w:sz w:val="18"/>
              </w:rPr>
            </w:pPr>
            <w:r>
              <w:rPr>
                <w:rFonts w:hint="eastAsia"/>
                <w:sz w:val="18"/>
              </w:rPr>
              <w:t>利润</w:t>
            </w:r>
          </w:p>
        </w:tc>
        <w:tc>
          <w:tcPr>
            <w:tcW w:w="113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985" w:type="dxa"/>
            <w:gridSpan w:val="2"/>
            <w:vMerge w:val="continue"/>
            <w:tcBorders>
              <w:top w:val="single" w:color="auto" w:sz="2" w:space="0"/>
              <w:left w:val="single" w:color="auto" w:sz="2" w:space="0"/>
              <w:bottom w:val="nil"/>
              <w:right w:val="single" w:color="auto" w:sz="2" w:space="0"/>
            </w:tcBorders>
            <w:vAlign w:val="center"/>
          </w:tcPr>
          <w:p>
            <w:pPr>
              <w:widowControl/>
              <w:jc w:val="left"/>
              <w:rPr>
                <w:sz w:val="18"/>
              </w:rPr>
            </w:pPr>
          </w:p>
        </w:tc>
        <w:tc>
          <w:tcPr>
            <w:tcW w:w="1291" w:type="dxa"/>
            <w:vMerge w:val="continue"/>
            <w:tcBorders>
              <w:top w:val="single" w:color="auto" w:sz="2" w:space="0"/>
              <w:left w:val="single" w:color="auto" w:sz="2" w:space="0"/>
              <w:bottom w:val="single" w:color="auto" w:sz="2" w:space="0"/>
              <w:right w:val="nil"/>
            </w:tcBorders>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9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92" w:type="dxa"/>
            <w:vMerge w:val="continue"/>
            <w:tcBorders>
              <w:top w:val="single" w:color="auto" w:sz="2" w:space="0"/>
              <w:left w:val="single" w:color="auto" w:sz="2" w:space="0"/>
              <w:bottom w:val="single" w:color="auto" w:sz="2" w:space="0"/>
              <w:right w:val="single" w:color="auto" w:sz="2" w:space="0"/>
            </w:tcBorders>
            <w:vAlign w:val="center"/>
          </w:tcPr>
          <w:p>
            <w:pPr>
              <w:rPr>
                <w:sz w:val="18"/>
              </w:rPr>
            </w:pP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86"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931"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13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84" w:type="dxa"/>
            <w:tcBorders>
              <w:top w:val="nil"/>
              <w:left w:val="single" w:color="auto" w:sz="2" w:space="0"/>
              <w:bottom w:val="single" w:color="auto" w:sz="2" w:space="0"/>
              <w:right w:val="single" w:color="auto" w:sz="2" w:space="0"/>
            </w:tcBorders>
            <w:vAlign w:val="center"/>
          </w:tcPr>
          <w:p>
            <w:pPr>
              <w:widowControl/>
              <w:jc w:val="left"/>
              <w:rPr>
                <w:sz w:val="18"/>
              </w:rPr>
            </w:pPr>
          </w:p>
        </w:tc>
        <w:tc>
          <w:tcPr>
            <w:tcW w:w="1301" w:type="dxa"/>
            <w:tcBorders>
              <w:top w:val="single" w:color="auto" w:sz="2" w:space="0"/>
              <w:left w:val="single" w:color="auto" w:sz="2" w:space="0"/>
              <w:bottom w:val="single" w:color="auto" w:sz="2" w:space="0"/>
              <w:right w:val="single" w:color="auto" w:sz="2" w:space="0"/>
            </w:tcBorders>
            <w:vAlign w:val="center"/>
          </w:tcPr>
          <w:p>
            <w:pPr>
              <w:widowControl/>
              <w:jc w:val="center"/>
              <w:rPr>
                <w:sz w:val="18"/>
              </w:rPr>
            </w:pPr>
            <w:r>
              <w:rPr>
                <w:rFonts w:hint="eastAsia"/>
                <w:sz w:val="18"/>
              </w:rPr>
              <w:t>其中：净利润</w:t>
            </w:r>
          </w:p>
        </w:tc>
        <w:tc>
          <w:tcPr>
            <w:tcW w:w="1291" w:type="dxa"/>
            <w:vMerge w:val="continue"/>
            <w:tcBorders>
              <w:top w:val="single" w:color="auto" w:sz="2" w:space="0"/>
              <w:left w:val="single" w:color="auto" w:sz="2" w:space="0"/>
              <w:bottom w:val="single" w:color="auto" w:sz="2" w:space="0"/>
              <w:right w:val="nil"/>
            </w:tcBorders>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795"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8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7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10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9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113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10</w:t>
            </w:r>
          </w:p>
        </w:tc>
        <w:tc>
          <w:tcPr>
            <w:tcW w:w="68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11</w:t>
            </w:r>
          </w:p>
        </w:tc>
        <w:tc>
          <w:tcPr>
            <w:tcW w:w="130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12</w:t>
            </w:r>
          </w:p>
        </w:tc>
        <w:tc>
          <w:tcPr>
            <w:tcW w:w="1291"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trPr>
        <w:tc>
          <w:tcPr>
            <w:tcW w:w="9702" w:type="dxa"/>
            <w:gridSpan w:val="10"/>
            <w:tcBorders>
              <w:top w:val="single" w:color="auto" w:sz="2" w:space="0"/>
              <w:left w:val="nil"/>
              <w:bottom w:val="single" w:color="auto" w:sz="8" w:space="0"/>
              <w:right w:val="nil"/>
            </w:tcBorders>
          </w:tcPr>
          <w:p>
            <w:pPr>
              <w:jc w:val="center"/>
              <w:rPr>
                <w:sz w:val="18"/>
              </w:rPr>
            </w:pPr>
          </w:p>
          <w:p>
            <w:pPr>
              <w:jc w:val="center"/>
              <w:rPr>
                <w:sz w:val="18"/>
              </w:rPr>
            </w:pPr>
          </w:p>
          <w:p>
            <w:pPr>
              <w:jc w:val="center"/>
              <w:rPr>
                <w:sz w:val="18"/>
              </w:rPr>
            </w:pPr>
          </w:p>
        </w:tc>
      </w:tr>
    </w:tbl>
    <w:p>
      <w:pPr>
        <w:rPr>
          <w:rFonts w:ascii="宋体" w:hAnsi="宋体"/>
          <w:sz w:val="18"/>
        </w:rPr>
      </w:pPr>
      <w:r>
        <w:rPr>
          <w:rFonts w:hint="eastAsia" w:ascii="宋体" w:hAnsi="宋体"/>
          <w:sz w:val="18"/>
        </w:rPr>
        <w:t>填报人：　　　　　　单位负责人：　　　　　　　　　联系电话：　　　　　　　　　报出日期： 2 0　年　月　日</w:t>
      </w:r>
    </w:p>
    <w:p>
      <w:pPr>
        <w:pStyle w:val="2"/>
        <w:tabs>
          <w:tab w:val="left" w:pos="540"/>
        </w:tabs>
        <w:ind w:firstLine="0"/>
        <w:rPr>
          <w:rFonts w:ascii="宋体"/>
          <w:sz w:val="18"/>
          <w:shd w:val="pct10" w:color="auto" w:fill="FFFFFF"/>
        </w:rPr>
      </w:pPr>
      <w:r>
        <w:rPr>
          <w:rFonts w:hint="eastAsia" w:ascii="宋体"/>
          <w:sz w:val="18"/>
        </w:rPr>
        <w:t>说明：1.本表综合反映报告年度非金融业境内投资者所拥有的中方控股在50%以上境外企业（包括金融业）的基本情况和经营活动情况（合并报表数据），由境内投资者负责收集、汇总并予以填报。若中方控股在50%以上的境外企业由多家境内投资者构成，则由中方持股比例最大的境内投资者填报。</w:t>
      </w:r>
    </w:p>
    <w:p>
      <w:pPr>
        <w:ind w:firstLine="529" w:firstLineChars="294"/>
        <w:rPr>
          <w:rFonts w:ascii="宋体" w:hAnsi="宋体"/>
          <w:sz w:val="18"/>
        </w:rPr>
      </w:pPr>
      <w:r>
        <w:rPr>
          <w:rFonts w:hint="eastAsia" w:ascii="宋体" w:hAnsi="宋体"/>
          <w:sz w:val="18"/>
        </w:rPr>
        <w:t>2.</w:t>
      </w:r>
      <w:r>
        <w:rPr>
          <w:rFonts w:hint="eastAsia" w:hAnsi="宋体"/>
          <w:sz w:val="18"/>
        </w:rPr>
        <w:t>本表由非金融业境内投资者于年后</w:t>
      </w:r>
      <w:r>
        <w:rPr>
          <w:rFonts w:hAnsi="宋体"/>
          <w:sz w:val="18"/>
        </w:rPr>
        <w:t>6</w:t>
      </w:r>
      <w:r>
        <w:rPr>
          <w:rFonts w:hint="eastAsia" w:hAnsi="宋体"/>
          <w:sz w:val="18"/>
        </w:rPr>
        <w:t>月</w:t>
      </w:r>
      <w:r>
        <w:rPr>
          <w:rFonts w:hAnsi="宋体"/>
          <w:sz w:val="18"/>
        </w:rPr>
        <w:t>20</w:t>
      </w:r>
      <w:r>
        <w:rPr>
          <w:rFonts w:hint="eastAsia" w:hAnsi="宋体"/>
          <w:sz w:val="18"/>
        </w:rPr>
        <w:t>日前报当地省级商务主管部门或商务部。</w:t>
      </w:r>
    </w:p>
    <w:p>
      <w:pPr>
        <w:ind w:firstLine="529" w:firstLineChars="294"/>
        <w:rPr>
          <w:rFonts w:ascii="宋体" w:hAnsi="宋体"/>
          <w:sz w:val="18"/>
        </w:rPr>
      </w:pPr>
      <w:r>
        <w:rPr>
          <w:rFonts w:hint="eastAsia" w:ascii="宋体" w:hAnsi="宋体"/>
          <w:sz w:val="18"/>
        </w:rPr>
        <w:t>3.所在国家(地区)及城市：指境外企业注册登记所在的国家和城市(国别地区代码见附录四)。</w:t>
      </w:r>
    </w:p>
    <w:p>
      <w:pPr>
        <w:ind w:firstLine="529" w:firstLineChars="294"/>
        <w:rPr>
          <w:rFonts w:ascii="宋体" w:hAnsi="宋体"/>
          <w:sz w:val="18"/>
        </w:rPr>
      </w:pPr>
      <w:r>
        <w:rPr>
          <w:rFonts w:hint="eastAsia" w:ascii="宋体" w:hAnsi="宋体"/>
          <w:sz w:val="18"/>
        </w:rPr>
        <w:t>4.设立日期和和行业代码：设立日期指境外企业的实际设立日期；行业类别(见附录一)。</w:t>
      </w:r>
    </w:p>
    <w:p>
      <w:pPr>
        <w:ind w:firstLine="529" w:firstLineChars="294"/>
        <w:rPr>
          <w:rFonts w:ascii="宋体" w:hAnsi="宋体"/>
          <w:sz w:val="18"/>
        </w:rPr>
      </w:pPr>
      <w:r>
        <w:rPr>
          <w:rFonts w:hint="eastAsia" w:ascii="宋体" w:hAnsi="宋体"/>
          <w:sz w:val="18"/>
        </w:rPr>
        <w:t>5.设立方式：指境内投资者设立的子公司、联营公司和分支机构(含办事处、代表处等)。</w:t>
      </w:r>
    </w:p>
    <w:p>
      <w:pPr>
        <w:ind w:firstLine="529" w:firstLineChars="294"/>
        <w:rPr>
          <w:rFonts w:ascii="宋体" w:hAnsi="宋体"/>
          <w:sz w:val="18"/>
        </w:rPr>
      </w:pPr>
      <w:r>
        <w:rPr>
          <w:rFonts w:hint="eastAsia" w:ascii="宋体" w:hAnsi="宋体"/>
          <w:sz w:val="18"/>
        </w:rPr>
        <w:t>6.当前状态：指境外企业年末时点的存在状态，包括：筹备设立、正在经营、暂停经营和撤(注)销。</w:t>
      </w:r>
    </w:p>
    <w:p>
      <w:pPr>
        <w:ind w:firstLine="540"/>
        <w:rPr>
          <w:rFonts w:ascii="宋体" w:hAnsi="宋体"/>
          <w:sz w:val="18"/>
        </w:rPr>
      </w:pPr>
      <w:r>
        <w:rPr>
          <w:rFonts w:hint="eastAsia" w:ascii="宋体" w:hAnsi="宋体"/>
          <w:sz w:val="18"/>
        </w:rPr>
        <w:t>7.中方持股比例：指境外企业章程中所注明的中方持有的股份（百分数）。</w:t>
      </w:r>
    </w:p>
    <w:p>
      <w:pPr>
        <w:ind w:firstLine="540"/>
        <w:rPr>
          <w:rFonts w:ascii="宋体" w:hAnsi="宋体"/>
          <w:sz w:val="18"/>
        </w:rPr>
      </w:pPr>
      <w:r>
        <w:rPr>
          <w:rFonts w:hint="eastAsia" w:ascii="宋体" w:hAnsi="宋体"/>
          <w:sz w:val="18"/>
        </w:rPr>
        <w:t>8.资产总计、负债合计、所有者权益合计、未分配利润、实收资本、营业收入、利润总额、净利润：分别根据境外企业年度合并会计报表相对应的指标填报。</w:t>
      </w:r>
    </w:p>
    <w:p>
      <w:pPr>
        <w:ind w:firstLine="540"/>
        <w:rPr>
          <w:rFonts w:ascii="宋体" w:hAnsi="宋体"/>
          <w:b/>
          <w:bCs/>
          <w:sz w:val="18"/>
          <w:szCs w:val="18"/>
        </w:rPr>
      </w:pPr>
      <w:r>
        <w:rPr>
          <w:rFonts w:hint="eastAsia" w:ascii="宋体" w:hAnsi="宋体"/>
          <w:sz w:val="18"/>
        </w:rPr>
        <w:t>9.</w:t>
      </w:r>
      <w:r>
        <w:rPr>
          <w:rFonts w:hint="eastAsia"/>
          <w:sz w:val="18"/>
        </w:rPr>
        <w:t>年末从业人员数：</w:t>
      </w:r>
      <w:r>
        <w:rPr>
          <w:rFonts w:hint="eastAsia"/>
          <w:sz w:val="18"/>
          <w:szCs w:val="18"/>
        </w:rPr>
        <w:t>指年末在境外企业从事一定的劳动并取得劳动报酬的全部人员数量。请填报与合并报表相对应的企业员工的合计数量。</w:t>
      </w:r>
    </w:p>
    <w:p>
      <w:pPr>
        <w:jc w:val="center"/>
        <w:rPr>
          <w:rFonts w:ascii="宋体" w:hAnsi="宋体"/>
          <w:b/>
          <w:bCs/>
          <w:sz w:val="32"/>
          <w:szCs w:val="32"/>
        </w:rPr>
      </w:pPr>
    </w:p>
    <w:p>
      <w:pPr>
        <w:jc w:val="center"/>
        <w:rPr>
          <w:rFonts w:ascii="宋体" w:hAnsi="宋体"/>
          <w:b/>
          <w:bCs/>
          <w:sz w:val="32"/>
        </w:rPr>
      </w:pPr>
      <w:r>
        <w:rPr>
          <w:rFonts w:hint="eastAsia" w:ascii="宋体" w:hAnsi="宋体"/>
          <w:b/>
          <w:bCs/>
          <w:sz w:val="32"/>
          <w:szCs w:val="32"/>
        </w:rPr>
        <w:t>对外直接投资流量、存量情况</w:t>
      </w:r>
    </w:p>
    <w:tbl>
      <w:tblPr>
        <w:tblStyle w:val="11"/>
        <w:tblW w:w="9645" w:type="dxa"/>
        <w:tblInd w:w="80" w:type="dxa"/>
        <w:tblLayout w:type="fixed"/>
        <w:tblCellMar>
          <w:top w:w="0" w:type="dxa"/>
          <w:left w:w="108" w:type="dxa"/>
          <w:bottom w:w="0" w:type="dxa"/>
          <w:right w:w="108" w:type="dxa"/>
        </w:tblCellMar>
      </w:tblPr>
      <w:tblGrid>
        <w:gridCol w:w="1546"/>
        <w:gridCol w:w="999"/>
        <w:gridCol w:w="720"/>
        <w:gridCol w:w="900"/>
        <w:gridCol w:w="900"/>
        <w:gridCol w:w="900"/>
        <w:gridCol w:w="590"/>
        <w:gridCol w:w="277"/>
        <w:gridCol w:w="851"/>
        <w:gridCol w:w="802"/>
        <w:gridCol w:w="1160"/>
      </w:tblGrid>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3表</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555"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90"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546"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99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所在国家（地区）及城市</w:t>
            </w: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是否属文化及相关产业</w:t>
            </w:r>
          </w:p>
          <w:p>
            <w:pPr>
              <w:jc w:val="center"/>
              <w:rPr>
                <w:sz w:val="18"/>
              </w:rPr>
            </w:pPr>
          </w:p>
        </w:tc>
        <w:tc>
          <w:tcPr>
            <w:tcW w:w="867"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当前</w:t>
            </w:r>
          </w:p>
          <w:p>
            <w:pPr>
              <w:jc w:val="center"/>
              <w:rPr>
                <w:sz w:val="18"/>
              </w:rPr>
            </w:pPr>
            <w:r>
              <w:rPr>
                <w:rFonts w:hint="eastAsia"/>
                <w:sz w:val="18"/>
              </w:rPr>
              <w:t>状态</w:t>
            </w: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中方持股比例（</w:t>
            </w:r>
            <w:r>
              <w:rPr>
                <w:sz w:val="18"/>
              </w:rPr>
              <w:t>%</w:t>
            </w:r>
            <w:r>
              <w:rPr>
                <w:rFonts w:hint="eastAsia"/>
                <w:sz w:val="18"/>
              </w:rPr>
              <w:t>）</w:t>
            </w:r>
          </w:p>
        </w:tc>
        <w:tc>
          <w:tcPr>
            <w:tcW w:w="802"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年末从业人员数</w:t>
            </w:r>
          </w:p>
        </w:tc>
        <w:tc>
          <w:tcPr>
            <w:tcW w:w="1160"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546"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67"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0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160"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546"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8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Arial" w:hAnsi="Arial" w:cs="Arial"/>
                <w:color w:val="333333"/>
                <w:sz w:val="18"/>
                <w:szCs w:val="18"/>
              </w:rPr>
              <w:t>庚</w:t>
            </w:r>
          </w:p>
        </w:tc>
        <w:tc>
          <w:tcPr>
            <w:tcW w:w="85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80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60"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546"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境外企业</w:t>
            </w:r>
          </w:p>
          <w:p>
            <w:pPr>
              <w:rPr>
                <w:sz w:val="18"/>
              </w:rPr>
            </w:pPr>
            <w:r>
              <w:rPr>
                <w:sz w:val="18"/>
              </w:rPr>
              <w:t>**</w:t>
            </w:r>
            <w:r>
              <w:rPr>
                <w:rFonts w:hint="eastAsia"/>
                <w:sz w:val="18"/>
              </w:rPr>
              <w:t>境外企业</w:t>
            </w:r>
          </w:p>
        </w:tc>
        <w:tc>
          <w:tcPr>
            <w:tcW w:w="8099" w:type="dxa"/>
            <w:gridSpan w:val="10"/>
            <w:tcBorders>
              <w:top w:val="single" w:color="auto" w:sz="2" w:space="0"/>
              <w:left w:val="single" w:color="auto" w:sz="2" w:space="0"/>
              <w:bottom w:val="single" w:color="auto" w:sz="8" w:space="0"/>
              <w:right w:val="nil"/>
            </w:tcBorders>
            <w:vAlign w:val="center"/>
          </w:tcPr>
          <w:p>
            <w:pPr>
              <w:rPr>
                <w:sz w:val="18"/>
              </w:rPr>
            </w:pPr>
          </w:p>
        </w:tc>
      </w:tr>
    </w:tbl>
    <w:p>
      <w:pPr>
        <w:pStyle w:val="16"/>
        <w:rPr>
          <w:rFonts w:ascii="宋体" w:hAnsi="宋体" w:eastAsia="宋体"/>
          <w:b w:val="0"/>
          <w:sz w:val="18"/>
        </w:rPr>
      </w:pPr>
      <w:r>
        <w:rPr>
          <w:rFonts w:hint="eastAsia" w:ascii="宋体" w:hAnsi="宋体" w:eastAsia="宋体"/>
          <w:b w:val="0"/>
          <w:sz w:val="18"/>
        </w:rPr>
        <w:t>续表</w:t>
      </w: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541"/>
        <w:gridCol w:w="721"/>
        <w:gridCol w:w="901"/>
        <w:gridCol w:w="956"/>
        <w:gridCol w:w="939"/>
        <w:gridCol w:w="758"/>
        <w:gridCol w:w="720"/>
        <w:gridCol w:w="900"/>
        <w:gridCol w:w="947"/>
        <w:gridCol w:w="93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599" w:type="dxa"/>
            <w:gridSpan w:val="6"/>
            <w:tcBorders>
              <w:top w:val="single" w:color="auto" w:sz="8" w:space="0"/>
              <w:left w:val="nil"/>
              <w:bottom w:val="single" w:color="auto" w:sz="2" w:space="0"/>
              <w:right w:val="single" w:color="auto" w:sz="2" w:space="0"/>
            </w:tcBorders>
            <w:vAlign w:val="center"/>
          </w:tcPr>
          <w:p>
            <w:pPr>
              <w:jc w:val="center"/>
              <w:rPr>
                <w:rFonts w:ascii="宋体" w:hAnsi="宋体"/>
                <w:sz w:val="18"/>
              </w:rPr>
            </w:pPr>
            <w:r>
              <w:rPr>
                <w:rFonts w:hint="eastAsia"/>
                <w:sz w:val="18"/>
              </w:rPr>
              <w:t>当期对外直接投资</w:t>
            </w:r>
          </w:p>
        </w:tc>
        <w:tc>
          <w:tcPr>
            <w:tcW w:w="5001" w:type="dxa"/>
            <w:gridSpan w:val="6"/>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sz w:val="18"/>
              </w:rPr>
              <w:t>年末对外直接投资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541" w:type="dxa"/>
            <w:vMerge w:val="restart"/>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sz w:val="18"/>
              </w:rPr>
              <w:t>流量</w:t>
            </w:r>
          </w:p>
        </w:tc>
        <w:tc>
          <w:tcPr>
            <w:tcW w:w="541"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578" w:type="dxa"/>
            <w:gridSpan w:val="3"/>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939"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反向</w:t>
            </w:r>
          </w:p>
          <w:p>
            <w:pPr>
              <w:jc w:val="center"/>
              <w:rPr>
                <w:sz w:val="18"/>
              </w:rPr>
            </w:pPr>
            <w:r>
              <w:rPr>
                <w:rFonts w:hint="eastAsia"/>
                <w:sz w:val="18"/>
              </w:rPr>
              <w:t>投资额</w:t>
            </w:r>
          </w:p>
          <w:p>
            <w:pPr>
              <w:jc w:val="center"/>
              <w:rPr>
                <w:rFonts w:ascii="宋体" w:hAnsi="宋体"/>
                <w:sz w:val="18"/>
              </w:rPr>
            </w:pPr>
          </w:p>
        </w:tc>
        <w:tc>
          <w:tcPr>
            <w:tcW w:w="758"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sz w:val="18"/>
              </w:rPr>
              <w:t>存量</w:t>
            </w:r>
          </w:p>
        </w:tc>
        <w:tc>
          <w:tcPr>
            <w:tcW w:w="72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777" w:type="dxa"/>
            <w:gridSpan w:val="3"/>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746"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累计反向投资额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1"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新增</w:t>
            </w:r>
          </w:p>
          <w:p>
            <w:pPr>
              <w:jc w:val="center"/>
              <w:rPr>
                <w:sz w:val="18"/>
              </w:rPr>
            </w:pPr>
            <w:r>
              <w:rPr>
                <w:rFonts w:hint="eastAsia"/>
                <w:sz w:val="18"/>
              </w:rPr>
              <w:t>股权</w:t>
            </w:r>
          </w:p>
        </w:tc>
        <w:tc>
          <w:tcPr>
            <w:tcW w:w="901"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当期收益再</w:t>
            </w:r>
          </w:p>
          <w:p>
            <w:pPr>
              <w:jc w:val="center"/>
              <w:rPr>
                <w:sz w:val="18"/>
              </w:rPr>
            </w:pPr>
            <w:r>
              <w:rPr>
                <w:rFonts w:hint="eastAsia"/>
                <w:sz w:val="18"/>
              </w:rPr>
              <w:t>投资</w:t>
            </w:r>
          </w:p>
        </w:tc>
        <w:tc>
          <w:tcPr>
            <w:tcW w:w="956" w:type="dxa"/>
            <w:tcBorders>
              <w:top w:val="single" w:color="auto" w:sz="2" w:space="0"/>
              <w:left w:val="single" w:color="auto" w:sz="2" w:space="0"/>
              <w:bottom w:val="single" w:color="auto" w:sz="2" w:space="0"/>
              <w:right w:val="single" w:color="auto" w:sz="2" w:space="0"/>
            </w:tcBorders>
            <w:vAlign w:val="center"/>
          </w:tcPr>
          <w:p>
            <w:pPr>
              <w:widowControl/>
              <w:jc w:val="left"/>
              <w:rPr>
                <w:sz w:val="18"/>
              </w:rPr>
            </w:pPr>
          </w:p>
          <w:p>
            <w:pPr>
              <w:widowControl/>
              <w:jc w:val="center"/>
              <w:rPr>
                <w:sz w:val="18"/>
              </w:rPr>
            </w:pPr>
            <w:r>
              <w:rPr>
                <w:rFonts w:hint="eastAsia"/>
                <w:sz w:val="18"/>
              </w:rPr>
              <w:t>新增债务工具</w:t>
            </w:r>
          </w:p>
          <w:p>
            <w:pPr>
              <w:jc w:val="center"/>
              <w:rPr>
                <w:sz w:val="18"/>
              </w:rPr>
            </w:pPr>
          </w:p>
        </w:tc>
        <w:tc>
          <w:tcPr>
            <w:tcW w:w="93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5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股权</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收益再</w:t>
            </w:r>
          </w:p>
          <w:p>
            <w:pPr>
              <w:jc w:val="center"/>
              <w:rPr>
                <w:sz w:val="18"/>
              </w:rPr>
            </w:pPr>
            <w:r>
              <w:rPr>
                <w:rFonts w:hint="eastAsia"/>
                <w:sz w:val="18"/>
              </w:rPr>
              <w:t>投资</w:t>
            </w:r>
          </w:p>
        </w:tc>
        <w:tc>
          <w:tcPr>
            <w:tcW w:w="930" w:type="dxa"/>
            <w:tcBorders>
              <w:top w:val="single" w:color="auto" w:sz="2" w:space="0"/>
              <w:left w:val="single" w:color="auto" w:sz="2" w:space="0"/>
              <w:bottom w:val="single" w:color="auto" w:sz="2" w:space="0"/>
              <w:right w:val="single" w:color="auto" w:sz="2" w:space="0"/>
            </w:tcBorders>
            <w:vAlign w:val="center"/>
          </w:tcPr>
          <w:p>
            <w:pPr>
              <w:widowControl/>
              <w:jc w:val="left"/>
              <w:rPr>
                <w:sz w:val="18"/>
              </w:rPr>
            </w:pPr>
          </w:p>
          <w:p>
            <w:pPr>
              <w:widowControl/>
              <w:jc w:val="left"/>
              <w:rPr>
                <w:sz w:val="18"/>
              </w:rPr>
            </w:pPr>
            <w:r>
              <w:rPr>
                <w:rFonts w:hint="eastAsia"/>
                <w:sz w:val="18"/>
              </w:rPr>
              <w:t>债务</w:t>
            </w:r>
          </w:p>
          <w:p>
            <w:pPr>
              <w:widowControl/>
              <w:jc w:val="left"/>
              <w:rPr>
                <w:sz w:val="18"/>
              </w:rPr>
            </w:pPr>
            <w:r>
              <w:rPr>
                <w:rFonts w:hint="eastAsia"/>
                <w:sz w:val="18"/>
              </w:rPr>
              <w:t>工具</w:t>
            </w:r>
          </w:p>
          <w:p>
            <w:pPr>
              <w:jc w:val="center"/>
              <w:rPr>
                <w:sz w:val="18"/>
              </w:rPr>
            </w:pPr>
          </w:p>
        </w:tc>
        <w:tc>
          <w:tcPr>
            <w:tcW w:w="746"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41"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4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90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95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93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75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10</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11</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12</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13</w:t>
            </w:r>
          </w:p>
        </w:tc>
        <w:tc>
          <w:tcPr>
            <w:tcW w:w="93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14</w:t>
            </w:r>
          </w:p>
        </w:tc>
        <w:tc>
          <w:tcPr>
            <w:tcW w:w="746"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9600" w:type="dxa"/>
            <w:gridSpan w:val="12"/>
            <w:tcBorders>
              <w:top w:val="single" w:color="auto" w:sz="2" w:space="0"/>
              <w:left w:val="nil"/>
              <w:bottom w:val="single" w:color="auto" w:sz="8" w:space="0"/>
              <w:right w:val="nil"/>
            </w:tcBorders>
          </w:tcPr>
          <w:p>
            <w:pPr>
              <w:rPr>
                <w:sz w:val="18"/>
              </w:rPr>
            </w:pPr>
          </w:p>
        </w:tc>
      </w:tr>
    </w:tbl>
    <w:p>
      <w:pPr>
        <w:tabs>
          <w:tab w:val="decimal" w:pos="756"/>
        </w:tabs>
        <w:rPr>
          <w:rFonts w:ascii="宋体" w:hAnsi="宋体"/>
          <w:sz w:val="18"/>
        </w:rPr>
      </w:pPr>
    </w:p>
    <w:p>
      <w:pPr>
        <w:tabs>
          <w:tab w:val="decimal" w:pos="756"/>
        </w:tabs>
        <w:rPr>
          <w:rFonts w:ascii="宋体" w:hAnsi="宋体"/>
          <w:sz w:val="18"/>
        </w:rPr>
      </w:pPr>
      <w:r>
        <w:rPr>
          <w:rFonts w:hint="eastAsia" w:ascii="宋体" w:hAnsi="宋体"/>
          <w:sz w:val="18"/>
        </w:rPr>
        <w:t>说明：1.本表综合反映报告年度境内投资者与其拥有的各境外企业（中方持股≥10%）之间的投资往来情况。</w:t>
      </w:r>
    </w:p>
    <w:p>
      <w:pPr>
        <w:tabs>
          <w:tab w:val="decimal" w:pos="756"/>
        </w:tabs>
        <w:rPr>
          <w:rFonts w:ascii="宋体" w:hAnsi="宋体"/>
          <w:sz w:val="18"/>
        </w:rPr>
      </w:pPr>
      <w:r>
        <w:rPr>
          <w:rFonts w:hAnsi="宋体"/>
          <w:sz w:val="18"/>
        </w:rPr>
        <w:t xml:space="preserve">      </w:t>
      </w:r>
      <w:r>
        <w:rPr>
          <w:rFonts w:hint="eastAsia" w:ascii="宋体" w:hAnsi="宋体"/>
          <w:sz w:val="18"/>
        </w:rPr>
        <w:t>2.</w:t>
      </w:r>
      <w:r>
        <w:rPr>
          <w:rFonts w:hint="eastAsia" w:hAnsi="宋体"/>
          <w:sz w:val="18"/>
        </w:rPr>
        <w:t>本表由非金融业境内投资者于年后</w:t>
      </w:r>
      <w:r>
        <w:rPr>
          <w:rFonts w:hAnsi="宋体"/>
          <w:sz w:val="18"/>
        </w:rPr>
        <w:t>6</w:t>
      </w:r>
      <w:r>
        <w:rPr>
          <w:rFonts w:hint="eastAsia" w:hAnsi="宋体"/>
          <w:sz w:val="18"/>
        </w:rPr>
        <w:t>月</w:t>
      </w:r>
      <w:r>
        <w:rPr>
          <w:rFonts w:hAnsi="宋体"/>
          <w:sz w:val="18"/>
        </w:rPr>
        <w:t>20</w:t>
      </w:r>
      <w:r>
        <w:rPr>
          <w:rFonts w:hint="eastAsia" w:hAnsi="宋体"/>
          <w:sz w:val="18"/>
        </w:rPr>
        <w:t>日前报省级商务主管部门或商务部。</w:t>
      </w:r>
    </w:p>
    <w:p>
      <w:pPr>
        <w:tabs>
          <w:tab w:val="decimal" w:pos="756"/>
        </w:tabs>
        <w:rPr>
          <w:rFonts w:hAnsi="宋体"/>
          <w:sz w:val="18"/>
        </w:rPr>
      </w:pPr>
      <w:r>
        <w:rPr>
          <w:rFonts w:hAnsi="宋体"/>
          <w:sz w:val="18"/>
        </w:rPr>
        <w:t xml:space="preserve">      </w:t>
      </w:r>
      <w:r>
        <w:rPr>
          <w:rFonts w:hint="eastAsia" w:ascii="宋体" w:hAnsi="宋体"/>
          <w:sz w:val="18"/>
        </w:rPr>
        <w:t>3</w:t>
      </w:r>
      <w:r>
        <w:rPr>
          <w:rFonts w:hAnsi="宋体"/>
          <w:sz w:val="18"/>
        </w:rPr>
        <w:t xml:space="preserve">. </w:t>
      </w:r>
      <w:r>
        <w:rPr>
          <w:rFonts w:hint="eastAsia" w:hAnsi="宋体"/>
          <w:sz w:val="18"/>
        </w:rPr>
        <w:t>债务工具：</w:t>
      </w:r>
      <w:r>
        <w:rPr>
          <w:rFonts w:hint="eastAsia" w:ascii="宋体" w:hAnsi="宋体"/>
          <w:sz w:val="18"/>
          <w:szCs w:val="18"/>
        </w:rPr>
        <w:t>指境内投资者和境外子公司、分支机构以及联营公司之间的债务交易等，包括境内投资者与境外子公司、联营公司和分支机构的借贷款、应收和预付款项（1年期以上）、债务证券等</w:t>
      </w:r>
      <w:r>
        <w:rPr>
          <w:rFonts w:hint="eastAsia" w:ascii="宋体" w:hAnsi="宋体"/>
          <w:szCs w:val="21"/>
        </w:rPr>
        <w:t>。</w:t>
      </w:r>
    </w:p>
    <w:p>
      <w:pPr>
        <w:tabs>
          <w:tab w:val="decimal" w:pos="756"/>
        </w:tabs>
        <w:rPr>
          <w:rFonts w:ascii="宋体" w:hAnsi="宋体"/>
          <w:sz w:val="18"/>
        </w:rPr>
      </w:pPr>
      <w:r>
        <w:rPr>
          <w:rFonts w:hAnsi="宋体"/>
          <w:sz w:val="18"/>
        </w:rPr>
        <w:t xml:space="preserve">      </w:t>
      </w:r>
      <w:r>
        <w:rPr>
          <w:rFonts w:hint="eastAsia" w:ascii="宋体" w:hAnsi="宋体"/>
          <w:sz w:val="18"/>
        </w:rPr>
        <w:t>4.对外直接投资流量4栏=5栏-9栏</w:t>
      </w:r>
    </w:p>
    <w:p>
      <w:pPr>
        <w:ind w:firstLine="540"/>
        <w:rPr>
          <w:rFonts w:ascii="宋体" w:hAnsi="宋体"/>
          <w:sz w:val="18"/>
        </w:rPr>
      </w:pPr>
      <w:r>
        <w:rPr>
          <w:rFonts w:hint="eastAsia" w:ascii="宋体" w:hAnsi="宋体"/>
          <w:sz w:val="18"/>
        </w:rPr>
        <w:t>5.累计对外直接投资存量：10栏=11栏-15栏</w:t>
      </w:r>
    </w:p>
    <w:p>
      <w:pPr>
        <w:rPr>
          <w:rFonts w:ascii="宋体" w:hAnsi="宋体"/>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jc w:val="center"/>
        <w:rPr>
          <w:rFonts w:ascii="宋体" w:hAnsi="宋体"/>
          <w:b/>
          <w:bCs/>
          <w:sz w:val="32"/>
        </w:rPr>
      </w:pPr>
      <w:r>
        <w:rPr>
          <w:rFonts w:hint="eastAsia" w:ascii="宋体" w:hAnsi="宋体"/>
          <w:b/>
          <w:bCs/>
          <w:sz w:val="32"/>
          <w:szCs w:val="32"/>
        </w:rPr>
        <w:t>成员企业间的债务工具情况</w:t>
      </w:r>
    </w:p>
    <w:tbl>
      <w:tblPr>
        <w:tblStyle w:val="11"/>
        <w:tblW w:w="9665" w:type="dxa"/>
        <w:tblInd w:w="0" w:type="dxa"/>
        <w:tblLayout w:type="fixed"/>
        <w:tblCellMar>
          <w:top w:w="0" w:type="dxa"/>
          <w:left w:w="108" w:type="dxa"/>
          <w:bottom w:w="0" w:type="dxa"/>
          <w:right w:w="108" w:type="dxa"/>
        </w:tblCellMar>
      </w:tblPr>
      <w:tblGrid>
        <w:gridCol w:w="1863"/>
        <w:gridCol w:w="1126"/>
        <w:gridCol w:w="947"/>
        <w:gridCol w:w="1134"/>
        <w:gridCol w:w="635"/>
        <w:gridCol w:w="924"/>
        <w:gridCol w:w="1416"/>
        <w:gridCol w:w="1620"/>
      </w:tblGrid>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4表</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eastAsia="宋体"/>
                <w:sz w:val="18"/>
              </w:rPr>
            </w:pP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9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5705" w:type="dxa"/>
            <w:gridSpan w:val="5"/>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960"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863"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1126"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所在国家（地区）及城市</w:t>
            </w:r>
          </w:p>
        </w:tc>
        <w:tc>
          <w:tcPr>
            <w:tcW w:w="94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行业</w:t>
            </w:r>
          </w:p>
          <w:p>
            <w:pPr>
              <w:jc w:val="center"/>
              <w:rPr>
                <w:sz w:val="18"/>
              </w:rPr>
            </w:pPr>
            <w:r>
              <w:rPr>
                <w:rFonts w:hint="eastAsia"/>
                <w:sz w:val="18"/>
              </w:rPr>
              <w:t>类别</w:t>
            </w:r>
          </w:p>
          <w:p>
            <w:pPr>
              <w:jc w:val="center"/>
              <w:rPr>
                <w:sz w:val="18"/>
              </w:rPr>
            </w:pPr>
          </w:p>
        </w:tc>
        <w:tc>
          <w:tcPr>
            <w:tcW w:w="1134"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ind w:left="72"/>
              <w:jc w:val="center"/>
              <w:rPr>
                <w:sz w:val="18"/>
              </w:rPr>
            </w:pPr>
          </w:p>
          <w:p>
            <w:pPr>
              <w:ind w:left="72"/>
              <w:jc w:val="center"/>
              <w:rPr>
                <w:sz w:val="18"/>
              </w:rPr>
            </w:pPr>
            <w:r>
              <w:rPr>
                <w:rFonts w:hint="eastAsia"/>
                <w:sz w:val="18"/>
              </w:rPr>
              <w:t>中方持股比例</w:t>
            </w:r>
          </w:p>
          <w:p>
            <w:pPr>
              <w:jc w:val="center"/>
              <w:rPr>
                <w:sz w:val="18"/>
              </w:rPr>
            </w:pPr>
            <w:r>
              <w:rPr>
                <w:rFonts w:hint="eastAsia"/>
                <w:sz w:val="18"/>
              </w:rPr>
              <w:t>（</w:t>
            </w:r>
            <w:r>
              <w:rPr>
                <w:sz w:val="18"/>
              </w:rPr>
              <w:t>%</w:t>
            </w:r>
            <w:r>
              <w:rPr>
                <w:rFonts w:hint="eastAsia"/>
                <w:sz w:val="18"/>
              </w:rPr>
              <w:t>）</w:t>
            </w:r>
          </w:p>
          <w:p>
            <w:pPr>
              <w:jc w:val="center"/>
              <w:rPr>
                <w:sz w:val="18"/>
              </w:rPr>
            </w:pPr>
          </w:p>
        </w:tc>
        <w:tc>
          <w:tcPr>
            <w:tcW w:w="155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境外成员企业的母公司名称</w:t>
            </w:r>
          </w:p>
        </w:tc>
        <w:tc>
          <w:tcPr>
            <w:tcW w:w="3036" w:type="dxa"/>
            <w:gridSpan w:val="2"/>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本企业对境外成员企业</w:t>
            </w:r>
          </w:p>
          <w:p>
            <w:pPr>
              <w:jc w:val="center"/>
              <w:rPr>
                <w:sz w:val="18"/>
              </w:rPr>
            </w:pPr>
            <w:r>
              <w:rPr>
                <w:rFonts w:hint="eastAsia"/>
                <w:sz w:val="18"/>
              </w:rPr>
              <w:t>的债务工具投资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1863"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126"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947"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134"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55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416"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当期新增</w:t>
            </w:r>
          </w:p>
          <w:p>
            <w:pPr>
              <w:jc w:val="center"/>
              <w:rPr>
                <w:sz w:val="18"/>
              </w:rPr>
            </w:pPr>
            <w:r>
              <w:rPr>
                <w:rFonts w:hint="eastAsia"/>
                <w:sz w:val="18"/>
              </w:rPr>
              <w:t>债务工具</w:t>
            </w:r>
          </w:p>
        </w:tc>
        <w:tc>
          <w:tcPr>
            <w:tcW w:w="1620"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年末债务工具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63"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1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55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14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620"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863"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境外成员企业</w:t>
            </w:r>
          </w:p>
          <w:p>
            <w:pPr>
              <w:rPr>
                <w:sz w:val="18"/>
              </w:rPr>
            </w:pPr>
            <w:r>
              <w:rPr>
                <w:sz w:val="18"/>
              </w:rPr>
              <w:t>**</w:t>
            </w:r>
            <w:r>
              <w:rPr>
                <w:rFonts w:hint="eastAsia"/>
                <w:sz w:val="18"/>
              </w:rPr>
              <w:t>境外成员企业</w:t>
            </w:r>
          </w:p>
        </w:tc>
        <w:tc>
          <w:tcPr>
            <w:tcW w:w="7802" w:type="dxa"/>
            <w:gridSpan w:val="7"/>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sz w:val="18"/>
        </w:rPr>
      </w:pPr>
    </w:p>
    <w:p>
      <w:pPr>
        <w:rPr>
          <w:rFonts w:ascii="宋体" w:hAnsi="宋体"/>
          <w:sz w:val="18"/>
          <w:szCs w:val="18"/>
        </w:rPr>
      </w:pPr>
      <w:r>
        <w:rPr>
          <w:rFonts w:hint="eastAsia" w:ascii="宋体" w:hAnsi="宋体"/>
          <w:sz w:val="18"/>
        </w:rPr>
        <w:t>说明：1.本表综合反映报告期境内投资者与境外成员企业间提供各种</w:t>
      </w:r>
      <w:r>
        <w:rPr>
          <w:rFonts w:hint="eastAsia" w:ascii="宋体" w:hAnsi="宋体"/>
          <w:sz w:val="18"/>
          <w:szCs w:val="18"/>
        </w:rPr>
        <w:t>债务工具的投资情况，是境内投资者对外直接投资的一部分。</w:t>
      </w:r>
    </w:p>
    <w:p>
      <w:pPr>
        <w:pStyle w:val="16"/>
        <w:ind w:firstLine="540"/>
        <w:rPr>
          <w:rFonts w:ascii="宋体" w:hAnsi="宋体" w:eastAsia="宋体"/>
          <w:b w:val="0"/>
          <w:sz w:val="18"/>
          <w:szCs w:val="18"/>
        </w:rPr>
      </w:pPr>
      <w:r>
        <w:rPr>
          <w:rFonts w:hint="eastAsia" w:ascii="宋体" w:hAnsi="宋体" w:eastAsia="宋体"/>
          <w:b w:val="0"/>
          <w:sz w:val="18"/>
          <w:szCs w:val="18"/>
        </w:rPr>
        <w:t>2.本表由非金融业境内投资者于年后6月20日前报省级商务主管部门或商务部。</w:t>
      </w:r>
    </w:p>
    <w:p>
      <w:pPr>
        <w:ind w:firstLine="529" w:firstLineChars="294"/>
        <w:rPr>
          <w:rFonts w:ascii="宋体" w:hAnsi="宋体"/>
          <w:sz w:val="18"/>
          <w:szCs w:val="18"/>
        </w:rPr>
      </w:pPr>
      <w:r>
        <w:rPr>
          <w:rFonts w:hint="eastAsia" w:ascii="宋体" w:hAnsi="宋体"/>
          <w:sz w:val="18"/>
          <w:szCs w:val="18"/>
        </w:rPr>
        <w:t>3.成员企业：指企业间互相不持有股份，但为同一企业所影响，则这些企业称为成员企业。只要企业间存在直接或间接地有一个共同的母公司，这些企业即成为成员企业。</w:t>
      </w:r>
    </w:p>
    <w:p>
      <w:pPr>
        <w:ind w:firstLine="529" w:firstLineChars="294"/>
        <w:rPr>
          <w:rFonts w:ascii="宋体" w:hAnsi="宋体"/>
          <w:sz w:val="18"/>
          <w:szCs w:val="18"/>
        </w:rPr>
      </w:pPr>
      <w:r>
        <w:rPr>
          <w:rFonts w:hint="eastAsia" w:ascii="宋体" w:hAnsi="宋体"/>
          <w:sz w:val="18"/>
          <w:szCs w:val="18"/>
        </w:rPr>
        <w:t>4.境外成员企业：与境内投资者互为成员企业的境外企业。</w:t>
      </w:r>
    </w:p>
    <w:p>
      <w:pPr>
        <w:ind w:firstLine="529" w:firstLineChars="294"/>
        <w:rPr>
          <w:rFonts w:ascii="宋体" w:hAnsi="宋体"/>
          <w:sz w:val="18"/>
          <w:szCs w:val="18"/>
        </w:rPr>
      </w:pPr>
      <w:r>
        <w:rPr>
          <w:rFonts w:hint="eastAsia" w:ascii="宋体" w:hAnsi="宋体"/>
          <w:sz w:val="18"/>
          <w:szCs w:val="18"/>
        </w:rPr>
        <w:t>5.本企业对境外成员企业的债务工具投资：指境内投资者向境外成员企业提供的各种债务工具的总和。包括境内投资者提供给境外成员企业的贷款、应向境外成员企业收取的贸易信贷款项等。</w:t>
      </w:r>
    </w:p>
    <w:p>
      <w:pPr>
        <w:ind w:firstLine="529" w:firstLineChars="294"/>
        <w:rPr>
          <w:rFonts w:ascii="宋体" w:hAnsi="宋体"/>
          <w:sz w:val="18"/>
        </w:rPr>
      </w:pPr>
      <w:r>
        <w:rPr>
          <w:rFonts w:hint="eastAsia" w:ascii="宋体" w:hAnsi="宋体"/>
          <w:sz w:val="18"/>
        </w:rPr>
        <w:t>6.当期新增债务工具：指本年度境内投资者与境外成员企业间的新增的债务金额。</w:t>
      </w:r>
    </w:p>
    <w:p>
      <w:pPr>
        <w:ind w:firstLine="529" w:firstLineChars="294"/>
        <w:rPr>
          <w:rFonts w:ascii="宋体" w:hAnsi="宋体"/>
          <w:b/>
          <w:bCs/>
          <w:sz w:val="18"/>
        </w:rPr>
      </w:pPr>
      <w:r>
        <w:rPr>
          <w:rFonts w:hint="eastAsia" w:ascii="宋体" w:hAnsi="宋体"/>
          <w:sz w:val="18"/>
        </w:rPr>
        <w:t>7.年末债务工具：指报告年度末境内投资者与境外成员企业间的累计债务金额。</w:t>
      </w: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jc w:val="center"/>
        <w:rPr>
          <w:rFonts w:ascii="宋体" w:hAnsi="宋体"/>
          <w:b/>
          <w:bCs/>
          <w:sz w:val="32"/>
        </w:rPr>
      </w:pPr>
      <w:r>
        <w:rPr>
          <w:rFonts w:hint="eastAsia" w:ascii="宋体" w:hAnsi="宋体"/>
          <w:b/>
          <w:bCs/>
          <w:sz w:val="32"/>
        </w:rPr>
        <w:br w:type="page"/>
      </w:r>
    </w:p>
    <w:p>
      <w:pPr>
        <w:jc w:val="center"/>
        <w:rPr>
          <w:rFonts w:ascii="宋体" w:hAnsi="宋体" w:eastAsia="宋体"/>
          <w:bCs/>
          <w:sz w:val="18"/>
        </w:rPr>
      </w:pPr>
      <w:r>
        <w:rPr>
          <w:rFonts w:hint="eastAsia" w:ascii="宋体" w:hAnsi="宋体"/>
          <w:b/>
          <w:bCs/>
          <w:sz w:val="32"/>
        </w:rPr>
        <w:t>境外企业返程投资情况</w:t>
      </w:r>
      <w:r>
        <w:rPr>
          <w:rFonts w:hint="eastAsia" w:ascii="宋体" w:hAnsi="宋体" w:eastAsia="宋体"/>
          <w:bCs/>
          <w:sz w:val="18"/>
        </w:rPr>
        <w:t xml:space="preserve">                                                                                                                                                                  </w:t>
      </w:r>
    </w:p>
    <w:tbl>
      <w:tblPr>
        <w:tblStyle w:val="11"/>
        <w:tblW w:w="9665" w:type="dxa"/>
        <w:tblInd w:w="0" w:type="dxa"/>
        <w:tblLayout w:type="fixed"/>
        <w:tblCellMar>
          <w:top w:w="0" w:type="dxa"/>
          <w:left w:w="108" w:type="dxa"/>
          <w:bottom w:w="0" w:type="dxa"/>
          <w:right w:w="108" w:type="dxa"/>
        </w:tblCellMar>
      </w:tblPr>
      <w:tblGrid>
        <w:gridCol w:w="1745"/>
        <w:gridCol w:w="1365"/>
        <w:gridCol w:w="555"/>
        <w:gridCol w:w="600"/>
        <w:gridCol w:w="1170"/>
        <w:gridCol w:w="270"/>
        <w:gridCol w:w="675"/>
        <w:gridCol w:w="525"/>
        <w:gridCol w:w="645"/>
        <w:gridCol w:w="1200"/>
        <w:gridCol w:w="915"/>
      </w:tblGrid>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5表</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960"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5705"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960" w:type="dxa"/>
            <w:gridSpan w:val="5"/>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45" w:type="dxa"/>
            <w:vMerge w:val="restart"/>
            <w:tcBorders>
              <w:top w:val="single" w:color="auto" w:sz="8" w:space="0"/>
              <w:left w:val="nil"/>
              <w:bottom w:val="single" w:color="auto" w:sz="2" w:space="0"/>
              <w:right w:val="single" w:color="auto" w:sz="2" w:space="0"/>
              <w:tl2br w:val="single" w:color="auto" w:sz="2" w:space="0"/>
            </w:tcBorders>
          </w:tcPr>
          <w:p>
            <w:pPr>
              <w:pStyle w:val="16"/>
              <w:rPr>
                <w:rFonts w:ascii="宋体" w:hAnsi="宋体" w:eastAsia="宋体"/>
                <w:b w:val="0"/>
                <w:sz w:val="18"/>
              </w:rPr>
            </w:pPr>
          </w:p>
          <w:p>
            <w:pPr>
              <w:pStyle w:val="16"/>
              <w:rPr>
                <w:rFonts w:ascii="宋体" w:hAnsi="宋体" w:eastAsia="宋体"/>
                <w:b w:val="0"/>
                <w:sz w:val="18"/>
              </w:rPr>
            </w:pPr>
          </w:p>
          <w:p>
            <w:pPr>
              <w:pStyle w:val="16"/>
              <w:ind w:firstLine="907" w:firstLineChars="504"/>
              <w:rPr>
                <w:rFonts w:ascii="宋体" w:hAnsi="宋体" w:eastAsia="宋体"/>
                <w:b w:val="0"/>
                <w:sz w:val="18"/>
              </w:rPr>
            </w:pPr>
            <w:r>
              <w:rPr>
                <w:rFonts w:hint="eastAsia" w:ascii="宋体" w:hAnsi="宋体" w:eastAsia="宋体"/>
                <w:b w:val="0"/>
                <w:sz w:val="18"/>
              </w:rPr>
              <w:t>指标</w:t>
            </w:r>
          </w:p>
          <w:p>
            <w:pPr>
              <w:pStyle w:val="16"/>
              <w:rPr>
                <w:rFonts w:ascii="宋体" w:hAnsi="宋体" w:eastAsia="宋体"/>
                <w:b w:val="0"/>
                <w:sz w:val="18"/>
              </w:rPr>
            </w:pPr>
          </w:p>
          <w:p>
            <w:pPr>
              <w:pStyle w:val="16"/>
              <w:rPr>
                <w:rFonts w:ascii="宋体" w:hAnsi="宋体" w:eastAsia="宋体"/>
                <w:b w:val="0"/>
                <w:sz w:val="18"/>
              </w:rPr>
            </w:pPr>
          </w:p>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国内企业名称</w:t>
            </w:r>
          </w:p>
        </w:tc>
        <w:tc>
          <w:tcPr>
            <w:tcW w:w="1365" w:type="dxa"/>
            <w:vMerge w:val="restart"/>
            <w:tcBorders>
              <w:top w:val="single" w:color="auto" w:sz="8" w:space="0"/>
              <w:left w:val="single" w:color="auto" w:sz="2" w:space="0"/>
              <w:bottom w:val="single" w:color="auto" w:sz="2" w:space="0"/>
              <w:right w:val="single" w:color="auto" w:sz="2" w:space="0"/>
            </w:tcBorders>
          </w:tcPr>
          <w:p>
            <w:pPr>
              <w:pStyle w:val="16"/>
              <w:jc w:val="center"/>
              <w:rPr>
                <w:rFonts w:ascii="宋体" w:hAnsi="宋体" w:eastAsia="宋体"/>
                <w:b w:val="0"/>
                <w:sz w:val="18"/>
              </w:rPr>
            </w:pPr>
          </w:p>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返程投资</w:t>
            </w:r>
          </w:p>
          <w:p>
            <w:pPr>
              <w:pStyle w:val="16"/>
              <w:jc w:val="center"/>
              <w:rPr>
                <w:rFonts w:ascii="宋体" w:hAnsi="宋体" w:eastAsia="宋体"/>
                <w:b w:val="0"/>
                <w:sz w:val="18"/>
              </w:rPr>
            </w:pPr>
            <w:r>
              <w:rPr>
                <w:rFonts w:hint="eastAsia" w:ascii="宋体" w:hAnsi="宋体" w:eastAsia="宋体"/>
                <w:b w:val="0"/>
                <w:sz w:val="18"/>
              </w:rPr>
              <w:t>国内企业的</w:t>
            </w:r>
          </w:p>
          <w:p>
            <w:pPr>
              <w:pStyle w:val="16"/>
              <w:jc w:val="center"/>
              <w:rPr>
                <w:rFonts w:ascii="宋体" w:hAnsi="宋体" w:eastAsia="宋体"/>
                <w:b w:val="0"/>
                <w:sz w:val="18"/>
              </w:rPr>
            </w:pPr>
            <w:r>
              <w:rPr>
                <w:rFonts w:hint="eastAsia" w:ascii="宋体" w:hAnsi="宋体" w:eastAsia="宋体"/>
                <w:b w:val="0"/>
                <w:sz w:val="18"/>
              </w:rPr>
              <w:t>行业类别</w:t>
            </w:r>
          </w:p>
          <w:p>
            <w:pPr>
              <w:pStyle w:val="16"/>
              <w:jc w:val="center"/>
              <w:rPr>
                <w:rFonts w:ascii="宋体" w:hAnsi="宋体" w:eastAsia="宋体"/>
                <w:b w:val="0"/>
                <w:sz w:val="18"/>
              </w:rPr>
            </w:pPr>
          </w:p>
          <w:p>
            <w:pPr>
              <w:pStyle w:val="16"/>
              <w:jc w:val="center"/>
              <w:rPr>
                <w:rFonts w:ascii="宋体" w:hAnsi="宋体" w:eastAsia="宋体"/>
                <w:b w:val="0"/>
                <w:sz w:val="18"/>
              </w:rPr>
            </w:pPr>
          </w:p>
          <w:p>
            <w:pPr>
              <w:pStyle w:val="16"/>
              <w:jc w:val="center"/>
              <w:rPr>
                <w:rFonts w:ascii="宋体" w:hAnsi="宋体" w:eastAsia="宋体"/>
                <w:b w:val="0"/>
                <w:sz w:val="18"/>
              </w:rPr>
            </w:pPr>
          </w:p>
        </w:tc>
        <w:tc>
          <w:tcPr>
            <w:tcW w:w="555" w:type="dxa"/>
            <w:tcBorders>
              <w:top w:val="single" w:color="auto" w:sz="8" w:space="0"/>
              <w:left w:val="single" w:color="auto" w:sz="2" w:space="0"/>
              <w:bottom w:val="nil"/>
              <w:right w:val="nil"/>
            </w:tcBorders>
          </w:tcPr>
          <w:p>
            <w:pPr>
              <w:pStyle w:val="16"/>
              <w:jc w:val="center"/>
              <w:rPr>
                <w:rFonts w:ascii="宋体" w:hAnsi="宋体" w:eastAsia="宋体"/>
                <w:b w:val="0"/>
                <w:sz w:val="18"/>
              </w:rPr>
            </w:pPr>
          </w:p>
          <w:p>
            <w:pPr>
              <w:pStyle w:val="16"/>
              <w:jc w:val="center"/>
              <w:rPr>
                <w:rFonts w:ascii="宋体" w:hAnsi="宋体" w:eastAsia="宋体"/>
                <w:b w:val="0"/>
                <w:sz w:val="18"/>
              </w:rPr>
            </w:pPr>
          </w:p>
        </w:tc>
        <w:tc>
          <w:tcPr>
            <w:tcW w:w="2715" w:type="dxa"/>
            <w:gridSpan w:val="4"/>
            <w:tcBorders>
              <w:top w:val="single" w:color="auto" w:sz="8" w:space="0"/>
              <w:left w:val="nil"/>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当期流量</w:t>
            </w:r>
          </w:p>
        </w:tc>
        <w:tc>
          <w:tcPr>
            <w:tcW w:w="525" w:type="dxa"/>
            <w:tcBorders>
              <w:top w:val="single" w:color="auto" w:sz="8" w:space="0"/>
              <w:left w:val="single" w:color="auto" w:sz="2" w:space="0"/>
              <w:bottom w:val="nil"/>
              <w:right w:val="nil"/>
            </w:tcBorders>
            <w:vAlign w:val="center"/>
          </w:tcPr>
          <w:p>
            <w:pPr>
              <w:pStyle w:val="16"/>
              <w:jc w:val="center"/>
              <w:rPr>
                <w:rFonts w:ascii="宋体" w:hAnsi="宋体" w:eastAsia="宋体"/>
                <w:b w:val="0"/>
                <w:sz w:val="18"/>
              </w:rPr>
            </w:pPr>
          </w:p>
        </w:tc>
        <w:tc>
          <w:tcPr>
            <w:tcW w:w="2760" w:type="dxa"/>
            <w:gridSpan w:val="3"/>
            <w:tcBorders>
              <w:top w:val="single" w:color="auto" w:sz="8" w:space="0"/>
              <w:left w:val="nil"/>
              <w:bottom w:val="single" w:color="auto" w:sz="2" w:space="0"/>
              <w:right w:val="nil"/>
            </w:tcBorders>
            <w:vAlign w:val="center"/>
          </w:tcPr>
          <w:p>
            <w:pPr>
              <w:pStyle w:val="16"/>
              <w:jc w:val="center"/>
              <w:rPr>
                <w:rFonts w:ascii="宋体" w:hAnsi="宋体" w:eastAsia="宋体"/>
                <w:b w:val="0"/>
                <w:sz w:val="18"/>
              </w:rPr>
            </w:pPr>
            <w:r>
              <w:rPr>
                <w:rFonts w:hint="eastAsia" w:ascii="宋体" w:hAnsi="宋体" w:eastAsia="宋体"/>
                <w:b w:val="0"/>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745"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6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555" w:type="dxa"/>
            <w:tcBorders>
              <w:top w:val="nil"/>
              <w:left w:val="single" w:color="auto" w:sz="2" w:space="0"/>
              <w:bottom w:val="single" w:color="auto" w:sz="2" w:space="0"/>
              <w:right w:val="single" w:color="auto" w:sz="2" w:space="0"/>
            </w:tcBorders>
            <w:vAlign w:val="center"/>
          </w:tcPr>
          <w:p>
            <w:pPr>
              <w:jc w:val="left"/>
              <w:rPr>
                <w:rFonts w:ascii="宋体" w:hAnsi="宋体"/>
                <w:sz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股权</w:t>
            </w:r>
          </w:p>
        </w:tc>
        <w:tc>
          <w:tcPr>
            <w:tcW w:w="1170" w:type="dxa"/>
            <w:tcBorders>
              <w:top w:val="single" w:color="auto" w:sz="2" w:space="0"/>
              <w:left w:val="single" w:color="auto" w:sz="2" w:space="0"/>
              <w:bottom w:val="single" w:color="auto" w:sz="2" w:space="0"/>
              <w:right w:val="single" w:color="auto" w:sz="2" w:space="0"/>
            </w:tcBorders>
            <w:vAlign w:val="center"/>
          </w:tcPr>
          <w:p>
            <w:pPr>
              <w:ind w:right="-105" w:rightChars="-50"/>
              <w:jc w:val="left"/>
              <w:rPr>
                <w:rFonts w:ascii="宋体" w:hAnsi="宋体"/>
                <w:sz w:val="18"/>
              </w:rPr>
            </w:pPr>
            <w:r>
              <w:rPr>
                <w:rFonts w:hint="eastAsia" w:ascii="宋体" w:hAnsi="宋体"/>
                <w:sz w:val="18"/>
              </w:rPr>
              <w:t>收益再投资</w:t>
            </w:r>
          </w:p>
        </w:tc>
        <w:tc>
          <w:tcPr>
            <w:tcW w:w="945" w:type="dxa"/>
            <w:gridSpan w:val="2"/>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债务工具</w:t>
            </w:r>
          </w:p>
        </w:tc>
        <w:tc>
          <w:tcPr>
            <w:tcW w:w="525" w:type="dxa"/>
            <w:tcBorders>
              <w:top w:val="nil"/>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p>
          <w:p>
            <w:pPr>
              <w:pStyle w:val="16"/>
              <w:jc w:val="center"/>
              <w:rPr>
                <w:rFonts w:ascii="宋体" w:hAnsi="宋体"/>
                <w:b w:val="0"/>
                <w:sz w:val="18"/>
              </w:rPr>
            </w:pPr>
          </w:p>
        </w:tc>
        <w:tc>
          <w:tcPr>
            <w:tcW w:w="645"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股权</w:t>
            </w:r>
          </w:p>
        </w:tc>
        <w:tc>
          <w:tcPr>
            <w:tcW w:w="120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收益再投资</w:t>
            </w:r>
          </w:p>
        </w:tc>
        <w:tc>
          <w:tcPr>
            <w:tcW w:w="915" w:type="dxa"/>
            <w:tcBorders>
              <w:top w:val="single" w:color="auto" w:sz="2" w:space="0"/>
              <w:left w:val="single" w:color="auto" w:sz="2" w:space="0"/>
              <w:bottom w:val="single" w:color="auto" w:sz="2" w:space="0"/>
              <w:right w:val="nil"/>
            </w:tcBorders>
            <w:vAlign w:val="center"/>
          </w:tcPr>
          <w:p>
            <w:pPr>
              <w:ind w:right="-140" w:rightChars="-67"/>
              <w:jc w:val="left"/>
              <w:rPr>
                <w:rFonts w:ascii="宋体" w:hAnsi="宋体"/>
                <w:sz w:val="18"/>
              </w:rPr>
            </w:pPr>
            <w:r>
              <w:rPr>
                <w:rFonts w:hint="eastAsia" w:ascii="宋体" w:hAnsi="宋体"/>
                <w:sz w:val="18"/>
              </w:rPr>
              <w:t>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45" w:type="dxa"/>
            <w:tcBorders>
              <w:top w:val="single" w:color="auto" w:sz="2" w:space="0"/>
              <w:left w:val="nil"/>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甲</w:t>
            </w:r>
          </w:p>
        </w:tc>
        <w:tc>
          <w:tcPr>
            <w:tcW w:w="136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乙</w:t>
            </w:r>
          </w:p>
        </w:tc>
        <w:tc>
          <w:tcPr>
            <w:tcW w:w="55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1</w:t>
            </w:r>
          </w:p>
        </w:tc>
        <w:tc>
          <w:tcPr>
            <w:tcW w:w="600"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2</w:t>
            </w:r>
          </w:p>
        </w:tc>
        <w:tc>
          <w:tcPr>
            <w:tcW w:w="1170"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3</w:t>
            </w:r>
          </w:p>
        </w:tc>
        <w:tc>
          <w:tcPr>
            <w:tcW w:w="945" w:type="dxa"/>
            <w:gridSpan w:val="2"/>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4</w:t>
            </w:r>
          </w:p>
        </w:tc>
        <w:tc>
          <w:tcPr>
            <w:tcW w:w="52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5</w:t>
            </w:r>
          </w:p>
        </w:tc>
        <w:tc>
          <w:tcPr>
            <w:tcW w:w="64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6</w:t>
            </w:r>
          </w:p>
        </w:tc>
        <w:tc>
          <w:tcPr>
            <w:tcW w:w="1200"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7</w:t>
            </w:r>
          </w:p>
        </w:tc>
        <w:tc>
          <w:tcPr>
            <w:tcW w:w="915" w:type="dxa"/>
            <w:tcBorders>
              <w:top w:val="single" w:color="auto" w:sz="2" w:space="0"/>
              <w:left w:val="single" w:color="auto" w:sz="2" w:space="0"/>
              <w:bottom w:val="single" w:color="auto" w:sz="2" w:space="0"/>
              <w:right w:val="nil"/>
            </w:tcBorders>
            <w:vAlign w:val="center"/>
          </w:tcPr>
          <w:p>
            <w:pPr>
              <w:pStyle w:val="16"/>
              <w:jc w:val="center"/>
              <w:rPr>
                <w:rFonts w:ascii="宋体" w:hAnsi="宋体" w:eastAsia="宋体"/>
                <w:b w:val="0"/>
                <w:sz w:val="18"/>
              </w:rPr>
            </w:pPr>
            <w:r>
              <w:rPr>
                <w:rFonts w:hint="eastAsia" w:ascii="宋体" w:hAnsi="宋体" w:eastAsia="宋体"/>
                <w:b w:val="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trPr>
        <w:tc>
          <w:tcPr>
            <w:tcW w:w="1745" w:type="dxa"/>
            <w:tcBorders>
              <w:top w:val="single" w:color="auto" w:sz="2" w:space="0"/>
              <w:left w:val="nil"/>
              <w:bottom w:val="single" w:color="auto" w:sz="8" w:space="0"/>
              <w:right w:val="single" w:color="auto" w:sz="2" w:space="0"/>
            </w:tcBorders>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合   计</w:t>
            </w:r>
          </w:p>
          <w:p>
            <w:pPr>
              <w:pStyle w:val="16"/>
              <w:jc w:val="center"/>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 xml:space="preserve"> **国内企业</w:t>
            </w:r>
          </w:p>
          <w:p>
            <w:pPr>
              <w:pStyle w:val="16"/>
              <w:rPr>
                <w:rFonts w:ascii="宋体" w:hAnsi="宋体" w:eastAsia="宋体"/>
                <w:b w:val="0"/>
                <w:sz w:val="18"/>
              </w:rPr>
            </w:pPr>
            <w:r>
              <w:rPr>
                <w:rFonts w:hint="eastAsia" w:ascii="宋体" w:hAnsi="宋体" w:eastAsia="宋体"/>
                <w:b w:val="0"/>
                <w:sz w:val="18"/>
              </w:rPr>
              <w:t xml:space="preserve"> **国内企业</w:t>
            </w:r>
          </w:p>
          <w:p>
            <w:pPr>
              <w:pStyle w:val="16"/>
              <w:rPr>
                <w:rFonts w:ascii="宋体" w:hAnsi="宋体" w:eastAsia="宋体"/>
                <w:b w:val="0"/>
                <w:sz w:val="18"/>
              </w:rPr>
            </w:pPr>
          </w:p>
          <w:p>
            <w:pPr>
              <w:pStyle w:val="16"/>
              <w:ind w:firstLine="450"/>
              <w:rPr>
                <w:rFonts w:ascii="宋体" w:hAnsi="宋体" w:eastAsia="宋体"/>
                <w:b w:val="0"/>
                <w:sz w:val="18"/>
              </w:rPr>
            </w:pPr>
          </w:p>
          <w:p>
            <w:pPr>
              <w:pStyle w:val="16"/>
              <w:ind w:firstLine="450"/>
              <w:rPr>
                <w:rFonts w:ascii="宋体" w:hAnsi="宋体" w:eastAsia="宋体"/>
                <w:b w:val="0"/>
                <w:sz w:val="18"/>
              </w:rPr>
            </w:pPr>
          </w:p>
          <w:p>
            <w:pPr>
              <w:pStyle w:val="16"/>
              <w:rPr>
                <w:rFonts w:ascii="宋体" w:hAnsi="宋体" w:eastAsia="宋体"/>
                <w:b w:val="0"/>
                <w:sz w:val="18"/>
              </w:rPr>
            </w:pPr>
          </w:p>
          <w:p>
            <w:pPr>
              <w:pStyle w:val="16"/>
              <w:ind w:firstLine="450"/>
              <w:rPr>
                <w:rFonts w:ascii="宋体" w:hAnsi="宋体" w:eastAsia="宋体"/>
                <w:b w:val="0"/>
                <w:sz w:val="18"/>
              </w:rPr>
            </w:pPr>
          </w:p>
        </w:tc>
        <w:tc>
          <w:tcPr>
            <w:tcW w:w="7920" w:type="dxa"/>
            <w:gridSpan w:val="10"/>
            <w:tcBorders>
              <w:top w:val="single" w:color="auto" w:sz="2" w:space="0"/>
              <w:left w:val="single" w:color="auto" w:sz="2" w:space="0"/>
              <w:bottom w:val="single" w:color="auto" w:sz="8" w:space="0"/>
              <w:right w:val="nil"/>
            </w:tcBorders>
          </w:tcPr>
          <w:p>
            <w:pPr>
              <w:pStyle w:val="16"/>
              <w:rPr>
                <w:rFonts w:ascii="宋体" w:hAnsi="宋体" w:eastAsia="宋体"/>
                <w:b w:val="0"/>
                <w:sz w:val="18"/>
              </w:rPr>
            </w:pPr>
          </w:p>
        </w:tc>
      </w:tr>
    </w:tbl>
    <w:p>
      <w:pPr>
        <w:pStyle w:val="16"/>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6"/>
        <w:rPr>
          <w:rFonts w:ascii="宋体" w:hAnsi="宋体" w:eastAsia="宋体"/>
          <w:b w:val="0"/>
          <w:sz w:val="18"/>
        </w:rPr>
      </w:pPr>
      <w:r>
        <w:rPr>
          <w:rFonts w:hint="eastAsia" w:ascii="宋体" w:hAnsi="宋体" w:eastAsia="宋体"/>
          <w:b w:val="0"/>
          <w:sz w:val="18"/>
        </w:rPr>
        <w:t xml:space="preserve">说明：1.本表综合反映报告期境内投资者通过境外企业最终返程投资到中国内地企业（持股≥10%）的基本情况。   </w:t>
      </w:r>
    </w:p>
    <w:p>
      <w:pPr>
        <w:pStyle w:val="16"/>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rPr>
        <w:t>6月20日</w:t>
      </w:r>
      <w:r>
        <w:rPr>
          <w:rFonts w:hint="eastAsia" w:ascii="宋体" w:hAnsi="宋体" w:eastAsia="宋体"/>
          <w:b w:val="0"/>
          <w:sz w:val="18"/>
        </w:rPr>
        <w:t>前报省级商务主管部门或商务部。首个投资国家（地区）是境外离岸中心的境外企业，如涉及投回中国内地企业，则必须填报此表。</w:t>
      </w:r>
    </w:p>
    <w:p>
      <w:pPr>
        <w:pStyle w:val="16"/>
        <w:ind w:firstLine="540"/>
        <w:rPr>
          <w:rFonts w:ascii="宋体" w:hAnsi="宋体" w:eastAsia="宋体"/>
          <w:b w:val="0"/>
          <w:sz w:val="18"/>
        </w:rPr>
      </w:pPr>
      <w:r>
        <w:rPr>
          <w:rFonts w:hint="eastAsia" w:ascii="宋体" w:hAnsi="宋体" w:eastAsia="宋体"/>
          <w:b w:val="0"/>
          <w:sz w:val="18"/>
        </w:rPr>
        <w:t>3.国内企业指返程投资设立的一级企业（持股≥10%）。</w:t>
      </w:r>
    </w:p>
    <w:p>
      <w:pPr>
        <w:pStyle w:val="16"/>
        <w:ind w:firstLine="540"/>
        <w:rPr>
          <w:rFonts w:ascii="宋体" w:hAnsi="宋体" w:eastAsia="宋体"/>
          <w:b w:val="0"/>
          <w:sz w:val="18"/>
        </w:rPr>
      </w:pPr>
      <w:r>
        <w:rPr>
          <w:rFonts w:hint="eastAsia" w:ascii="宋体" w:hAnsi="宋体" w:eastAsia="宋体"/>
          <w:b w:val="0"/>
          <w:sz w:val="18"/>
        </w:rPr>
        <w:t>4.当期流量指境内投资者报告年度通过境外企业最终投资返回国内企业的金额总和。包括报告年度境内投资者和境外企业以各种方式（自有资金、境内银行贷款、境外融资等）形成的股本、收益再投资、债务工具的增加或减少金额。</w:t>
      </w:r>
    </w:p>
    <w:p>
      <w:pPr>
        <w:pStyle w:val="16"/>
        <w:ind w:firstLine="540"/>
        <w:rPr>
          <w:rFonts w:ascii="宋体" w:hAnsi="宋体" w:eastAsia="宋体"/>
          <w:b w:val="0"/>
          <w:sz w:val="18"/>
        </w:rPr>
      </w:pPr>
      <w:r>
        <w:rPr>
          <w:rFonts w:hint="eastAsia" w:ascii="宋体" w:hAnsi="宋体" w:eastAsia="宋体"/>
          <w:b w:val="0"/>
          <w:sz w:val="18"/>
        </w:rPr>
        <w:t>5.年末存量指境内投资者报告年末通过境外企业累计最终投资返回国内企业的金额总和。包括报告年末境内投资者和境外企业以各种方式（自有资金、境内银行贷款、境外融资等）形成的股本、收益再投资、债务工具总和。</w:t>
      </w:r>
    </w:p>
    <w:p>
      <w:pPr>
        <w:pStyle w:val="16"/>
        <w:ind w:firstLine="540"/>
        <w:rPr>
          <w:rFonts w:ascii="宋体" w:hAnsi="宋体" w:eastAsia="宋体"/>
          <w:b w:val="0"/>
          <w:sz w:val="18"/>
        </w:rPr>
      </w:pPr>
      <w:r>
        <w:rPr>
          <w:rFonts w:hint="eastAsia" w:ascii="宋体" w:hAnsi="宋体" w:eastAsia="宋体"/>
          <w:b w:val="0"/>
          <w:sz w:val="18"/>
        </w:rPr>
        <w:t>6.国内企业行业代码参照附录一。</w:t>
      </w:r>
    </w:p>
    <w:p>
      <w:pPr>
        <w:pStyle w:val="16"/>
        <w:ind w:left="3420" w:hanging="3420" w:hangingChars="1900"/>
        <w:rPr>
          <w:rFonts w:ascii="宋体" w:hAnsi="宋体" w:eastAsia="宋体"/>
          <w:b w:val="0"/>
          <w:sz w:val="18"/>
        </w:rPr>
      </w:pPr>
    </w:p>
    <w:p>
      <w:pPr>
        <w:rPr>
          <w:rFonts w:ascii="宋体" w:hAnsi="宋体"/>
          <w:b/>
          <w:bCs/>
          <w:sz w:val="18"/>
        </w:rPr>
      </w:pPr>
    </w:p>
    <w:p>
      <w:pPr>
        <w:jc w:val="center"/>
        <w:rPr>
          <w:rFonts w:ascii="宋体" w:hAnsi="宋体"/>
          <w:b/>
          <w:bCs/>
          <w:sz w:val="32"/>
        </w:rPr>
      </w:pPr>
      <w:r>
        <w:rPr>
          <w:rFonts w:hint="eastAsia" w:ascii="宋体" w:hAnsi="宋体"/>
          <w:b/>
          <w:bCs/>
          <w:sz w:val="32"/>
        </w:rPr>
        <w:br w:type="page"/>
      </w:r>
    </w:p>
    <w:p>
      <w:pPr>
        <w:jc w:val="center"/>
        <w:rPr>
          <w:rFonts w:ascii="宋体" w:hAnsi="宋体" w:eastAsia="宋体"/>
          <w:bCs/>
          <w:sz w:val="18"/>
        </w:rPr>
      </w:pPr>
      <w:r>
        <w:rPr>
          <w:rFonts w:hint="eastAsia" w:ascii="宋体" w:hAnsi="宋体"/>
          <w:b/>
          <w:bCs/>
          <w:sz w:val="32"/>
        </w:rPr>
        <w:t>境内投资者通过境外企业再投资情况</w:t>
      </w:r>
      <w:r>
        <w:rPr>
          <w:rFonts w:hint="eastAsia" w:ascii="宋体" w:hAnsi="宋体" w:eastAsia="宋体"/>
          <w:bCs/>
          <w:sz w:val="18"/>
        </w:rPr>
        <w:t xml:space="preserve">                                                                                                                                                                  </w:t>
      </w:r>
    </w:p>
    <w:tbl>
      <w:tblPr>
        <w:tblStyle w:val="11"/>
        <w:tblW w:w="9705" w:type="dxa"/>
        <w:tblInd w:w="0" w:type="dxa"/>
        <w:tblLayout w:type="fixed"/>
        <w:tblCellMar>
          <w:top w:w="0" w:type="dxa"/>
          <w:left w:w="108" w:type="dxa"/>
          <w:bottom w:w="0" w:type="dxa"/>
          <w:right w:w="108" w:type="dxa"/>
        </w:tblCellMar>
      </w:tblPr>
      <w:tblGrid>
        <w:gridCol w:w="2633"/>
        <w:gridCol w:w="1358"/>
        <w:gridCol w:w="1179"/>
        <w:gridCol w:w="1193"/>
        <w:gridCol w:w="178"/>
        <w:gridCol w:w="964"/>
        <w:gridCol w:w="960"/>
        <w:gridCol w:w="1240"/>
      </w:tblGrid>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6表</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eastAsia="宋体"/>
                <w:sz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541" w:type="dxa"/>
            <w:gridSpan w:val="5"/>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633" w:type="dxa"/>
            <w:vMerge w:val="restart"/>
            <w:tcBorders>
              <w:top w:val="single" w:color="auto" w:sz="8" w:space="0"/>
              <w:left w:val="nil"/>
              <w:bottom w:val="single" w:color="auto" w:sz="2" w:space="0"/>
              <w:right w:val="single" w:color="auto" w:sz="2" w:space="0"/>
              <w:tl2br w:val="single" w:color="auto" w:sz="2" w:space="0"/>
            </w:tcBorders>
          </w:tcPr>
          <w:p>
            <w:pPr>
              <w:pStyle w:val="16"/>
              <w:rPr>
                <w:rFonts w:ascii="宋体" w:hAnsi="宋体" w:eastAsia="宋体"/>
                <w:b w:val="0"/>
                <w:sz w:val="18"/>
              </w:rPr>
            </w:pPr>
            <w:r>
              <w:rPr>
                <w:rFonts w:hint="eastAsia" w:ascii="宋体" w:hAnsi="宋体" w:eastAsia="宋体"/>
                <w:b w:val="0"/>
                <w:sz w:val="18"/>
              </w:rPr>
              <w:t xml:space="preserve">        </w:t>
            </w:r>
          </w:p>
          <w:p>
            <w:pPr>
              <w:pStyle w:val="16"/>
              <w:rPr>
                <w:rFonts w:ascii="宋体" w:hAnsi="宋体" w:eastAsia="宋体"/>
                <w:b w:val="0"/>
                <w:sz w:val="18"/>
              </w:rPr>
            </w:pPr>
            <w:r>
              <w:rPr>
                <w:rFonts w:hint="eastAsia" w:ascii="宋体" w:hAnsi="宋体" w:eastAsia="宋体"/>
                <w:b w:val="0"/>
                <w:sz w:val="18"/>
              </w:rPr>
              <w:t xml:space="preserve">              </w:t>
            </w:r>
          </w:p>
          <w:p>
            <w:pPr>
              <w:pStyle w:val="16"/>
              <w:ind w:firstLine="1620" w:firstLineChars="900"/>
              <w:rPr>
                <w:rFonts w:ascii="宋体" w:hAnsi="宋体" w:eastAsia="宋体"/>
                <w:b w:val="0"/>
                <w:sz w:val="18"/>
              </w:rPr>
            </w:pPr>
            <w:r>
              <w:rPr>
                <w:rFonts w:hint="eastAsia" w:ascii="宋体" w:hAnsi="宋体" w:eastAsia="宋体"/>
                <w:b w:val="0"/>
                <w:sz w:val="18"/>
              </w:rPr>
              <w:t>指标</w:t>
            </w:r>
          </w:p>
          <w:p>
            <w:pPr>
              <w:pStyle w:val="16"/>
              <w:rPr>
                <w:rFonts w:ascii="宋体" w:hAnsi="宋体" w:eastAsia="宋体"/>
                <w:b w:val="0"/>
                <w:sz w:val="18"/>
              </w:rPr>
            </w:pPr>
            <w:r>
              <w:rPr>
                <w:rFonts w:hint="eastAsia" w:ascii="宋体" w:hAnsi="宋体" w:eastAsia="宋体"/>
                <w:b w:val="0"/>
                <w:sz w:val="18"/>
              </w:rPr>
              <w:t>再投资最终投向</w:t>
            </w:r>
          </w:p>
          <w:p>
            <w:pPr>
              <w:pStyle w:val="16"/>
              <w:rPr>
                <w:rFonts w:ascii="宋体" w:hAnsi="宋体" w:eastAsia="宋体"/>
                <w:b w:val="0"/>
                <w:sz w:val="18"/>
              </w:rPr>
            </w:pPr>
            <w:r>
              <w:rPr>
                <w:rFonts w:hint="eastAsia" w:ascii="宋体" w:hAnsi="宋体" w:eastAsia="宋体"/>
                <w:b w:val="0"/>
                <w:sz w:val="18"/>
              </w:rPr>
              <w:t>的国家（地区）</w:t>
            </w:r>
          </w:p>
          <w:p>
            <w:pPr>
              <w:pStyle w:val="16"/>
              <w:rPr>
                <w:rFonts w:ascii="宋体" w:hAnsi="宋体" w:eastAsia="宋体"/>
                <w:b w:val="0"/>
                <w:sz w:val="18"/>
              </w:rPr>
            </w:pPr>
            <w:r>
              <w:rPr>
                <w:rFonts w:hint="eastAsia" w:ascii="宋体" w:hAnsi="宋体" w:eastAsia="宋体"/>
                <w:b w:val="0"/>
                <w:sz w:val="18"/>
              </w:rPr>
              <w:t>/境外企业或项目名称</w:t>
            </w:r>
          </w:p>
        </w:tc>
        <w:tc>
          <w:tcPr>
            <w:tcW w:w="1358"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再投资最终投向的企业或项目的行业类别</w:t>
            </w:r>
          </w:p>
          <w:p>
            <w:pPr>
              <w:pStyle w:val="16"/>
              <w:jc w:val="center"/>
              <w:rPr>
                <w:rFonts w:ascii="宋体" w:hAnsi="宋体" w:eastAsia="宋体"/>
                <w:b w:val="0"/>
                <w:sz w:val="18"/>
              </w:rPr>
            </w:pPr>
          </w:p>
        </w:tc>
        <w:tc>
          <w:tcPr>
            <w:tcW w:w="1179"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中方持股比例（%）</w:t>
            </w:r>
          </w:p>
        </w:tc>
        <w:tc>
          <w:tcPr>
            <w:tcW w:w="1193"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当期各类投资流量</w:t>
            </w:r>
          </w:p>
          <w:p>
            <w:pPr>
              <w:pStyle w:val="16"/>
              <w:jc w:val="center"/>
              <w:rPr>
                <w:rFonts w:ascii="宋体" w:hAnsi="宋体" w:eastAsia="宋体"/>
                <w:b w:val="0"/>
                <w:sz w:val="18"/>
              </w:rPr>
            </w:pPr>
          </w:p>
        </w:tc>
        <w:tc>
          <w:tcPr>
            <w:tcW w:w="1142" w:type="dxa"/>
            <w:gridSpan w:val="2"/>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年末各类投资存量</w:t>
            </w:r>
          </w:p>
          <w:p>
            <w:pPr>
              <w:pStyle w:val="16"/>
              <w:jc w:val="center"/>
              <w:rPr>
                <w:rFonts w:ascii="宋体" w:hAnsi="宋体" w:eastAsia="宋体"/>
                <w:b w:val="0"/>
                <w:sz w:val="18"/>
              </w:rPr>
            </w:pPr>
          </w:p>
        </w:tc>
        <w:tc>
          <w:tcPr>
            <w:tcW w:w="2200" w:type="dxa"/>
            <w:gridSpan w:val="2"/>
            <w:tcBorders>
              <w:top w:val="single" w:color="auto" w:sz="8" w:space="0"/>
              <w:left w:val="single" w:color="auto" w:sz="2" w:space="0"/>
              <w:bottom w:val="nil"/>
              <w:right w:val="nil"/>
            </w:tcBorders>
            <w:vAlign w:val="center"/>
          </w:tcPr>
          <w:p>
            <w:pPr>
              <w:widowControl/>
              <w:jc w:val="center"/>
              <w:rPr>
                <w:rFonts w:ascii="宋体" w:hAnsi="宋体"/>
                <w:sz w:val="18"/>
              </w:rPr>
            </w:pPr>
          </w:p>
          <w:p>
            <w:pPr>
              <w:widowControl/>
              <w:jc w:val="center"/>
              <w:rPr>
                <w:rFonts w:ascii="宋体" w:hAnsi="宋体"/>
                <w:sz w:val="18"/>
              </w:rPr>
            </w:pPr>
            <w:r>
              <w:rPr>
                <w:rFonts w:hint="eastAsia" w:ascii="宋体" w:hAnsi="宋体"/>
                <w:sz w:val="18"/>
              </w:rPr>
              <w:t>年末从业人员数量</w:t>
            </w:r>
          </w:p>
          <w:p>
            <w:pPr>
              <w:pStyle w:val="16"/>
              <w:jc w:val="center"/>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633"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5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79"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8"/>
              </w:rPr>
            </w:pPr>
          </w:p>
        </w:tc>
        <w:tc>
          <w:tcPr>
            <w:tcW w:w="119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4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60" w:type="dxa"/>
            <w:tcBorders>
              <w:top w:val="nil"/>
              <w:left w:val="single" w:color="auto" w:sz="2" w:space="0"/>
              <w:bottom w:val="single" w:color="auto" w:sz="2" w:space="0"/>
              <w:right w:val="single" w:color="auto" w:sz="2" w:space="0"/>
            </w:tcBorders>
          </w:tcPr>
          <w:p>
            <w:pPr>
              <w:pStyle w:val="16"/>
              <w:jc w:val="center"/>
              <w:rPr>
                <w:rFonts w:ascii="宋体" w:hAnsi="宋体"/>
                <w:b w:val="0"/>
                <w:sz w:val="18"/>
              </w:rPr>
            </w:pPr>
          </w:p>
        </w:tc>
        <w:tc>
          <w:tcPr>
            <w:tcW w:w="1240" w:type="dxa"/>
            <w:tcBorders>
              <w:top w:val="single" w:color="auto" w:sz="2" w:space="0"/>
              <w:left w:val="single" w:color="auto" w:sz="2" w:space="0"/>
              <w:bottom w:val="single" w:color="auto" w:sz="2" w:space="0"/>
              <w:right w:val="nil"/>
            </w:tcBorders>
          </w:tcPr>
          <w:p>
            <w:pPr>
              <w:widowControl/>
              <w:jc w:val="left"/>
              <w:rPr>
                <w:rFonts w:ascii="宋体" w:hAnsi="宋体" w:eastAsia="楷体_GB2312"/>
                <w:sz w:val="18"/>
              </w:rPr>
            </w:pPr>
          </w:p>
          <w:p>
            <w:pPr>
              <w:pStyle w:val="16"/>
              <w:rPr>
                <w:rFonts w:ascii="宋体" w:hAnsi="宋体" w:eastAsia="宋体"/>
                <w:b w:val="0"/>
                <w:sz w:val="18"/>
              </w:rPr>
            </w:pPr>
            <w:r>
              <w:rPr>
                <w:rFonts w:hint="eastAsia" w:ascii="宋体" w:hAnsi="宋体" w:eastAsia="宋体"/>
                <w:b w:val="0"/>
                <w:sz w:val="18"/>
              </w:rPr>
              <w:t>其中:外方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33" w:type="dxa"/>
            <w:tcBorders>
              <w:top w:val="single" w:color="auto" w:sz="2" w:space="0"/>
              <w:left w:val="nil"/>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甲</w:t>
            </w:r>
          </w:p>
        </w:tc>
        <w:tc>
          <w:tcPr>
            <w:tcW w:w="1358"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乙</w:t>
            </w:r>
          </w:p>
        </w:tc>
        <w:tc>
          <w:tcPr>
            <w:tcW w:w="1179"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丙</w:t>
            </w:r>
          </w:p>
        </w:tc>
        <w:tc>
          <w:tcPr>
            <w:tcW w:w="1193"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1</w:t>
            </w:r>
          </w:p>
        </w:tc>
        <w:tc>
          <w:tcPr>
            <w:tcW w:w="1142" w:type="dxa"/>
            <w:gridSpan w:val="2"/>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2</w:t>
            </w:r>
          </w:p>
        </w:tc>
        <w:tc>
          <w:tcPr>
            <w:tcW w:w="960"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3</w:t>
            </w:r>
          </w:p>
        </w:tc>
        <w:tc>
          <w:tcPr>
            <w:tcW w:w="1240" w:type="dxa"/>
            <w:tcBorders>
              <w:top w:val="single" w:color="auto" w:sz="2" w:space="0"/>
              <w:left w:val="single" w:color="auto" w:sz="2" w:space="0"/>
              <w:bottom w:val="single" w:color="auto" w:sz="2" w:space="0"/>
              <w:right w:val="nil"/>
            </w:tcBorders>
            <w:vAlign w:val="center"/>
          </w:tcPr>
          <w:p>
            <w:pPr>
              <w:pStyle w:val="16"/>
              <w:jc w:val="center"/>
              <w:rPr>
                <w:rFonts w:ascii="宋体" w:hAnsi="宋体" w:eastAsia="宋体"/>
                <w:b w:val="0"/>
                <w:sz w:val="18"/>
              </w:rPr>
            </w:pPr>
            <w:r>
              <w:rPr>
                <w:rFonts w:hint="eastAsia" w:ascii="宋体" w:hAnsi="宋体" w:eastAsia="宋体"/>
                <w:b w:val="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2633" w:type="dxa"/>
            <w:tcBorders>
              <w:top w:val="single" w:color="auto" w:sz="2" w:space="0"/>
              <w:left w:val="nil"/>
              <w:bottom w:val="single" w:color="auto" w:sz="8" w:space="0"/>
              <w:right w:val="single" w:color="auto" w:sz="2" w:space="0"/>
            </w:tcBorders>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合   计</w:t>
            </w:r>
          </w:p>
          <w:p>
            <w:pPr>
              <w:pStyle w:val="16"/>
              <w:jc w:val="center"/>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 xml:space="preserve">   **国家（地区）</w:t>
            </w:r>
          </w:p>
          <w:p>
            <w:pPr>
              <w:pStyle w:val="16"/>
              <w:ind w:firstLine="450"/>
              <w:rPr>
                <w:rFonts w:ascii="宋体" w:hAnsi="宋体" w:eastAsia="宋体"/>
                <w:b w:val="0"/>
                <w:sz w:val="18"/>
              </w:rPr>
            </w:pPr>
            <w:r>
              <w:rPr>
                <w:rFonts w:hint="eastAsia" w:ascii="宋体" w:hAnsi="宋体" w:eastAsia="宋体"/>
                <w:b w:val="0"/>
                <w:sz w:val="18"/>
              </w:rPr>
              <w:t>**境外企业或项目</w:t>
            </w:r>
          </w:p>
          <w:p>
            <w:pPr>
              <w:pStyle w:val="16"/>
              <w:ind w:firstLine="450"/>
              <w:rPr>
                <w:rFonts w:ascii="宋体" w:hAnsi="宋体" w:eastAsia="宋体"/>
                <w:b w:val="0"/>
                <w:sz w:val="18"/>
              </w:rPr>
            </w:pPr>
            <w:r>
              <w:rPr>
                <w:rFonts w:hint="eastAsia" w:ascii="宋体" w:hAnsi="宋体" w:eastAsia="宋体"/>
                <w:b w:val="0"/>
                <w:sz w:val="18"/>
              </w:rPr>
              <w:t xml:space="preserve">    </w:t>
            </w:r>
          </w:p>
          <w:p>
            <w:pPr>
              <w:pStyle w:val="16"/>
              <w:ind w:firstLine="450"/>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 xml:space="preserve">   **国家（地区）</w:t>
            </w:r>
          </w:p>
          <w:p>
            <w:pPr>
              <w:pStyle w:val="16"/>
              <w:ind w:firstLine="450"/>
              <w:rPr>
                <w:rFonts w:ascii="宋体" w:hAnsi="宋体" w:eastAsia="宋体"/>
                <w:b w:val="0"/>
                <w:sz w:val="18"/>
              </w:rPr>
            </w:pPr>
            <w:r>
              <w:rPr>
                <w:rFonts w:hint="eastAsia" w:ascii="宋体" w:hAnsi="宋体" w:eastAsia="宋体"/>
                <w:b w:val="0"/>
                <w:sz w:val="18"/>
              </w:rPr>
              <w:t>**境外企业或项目</w:t>
            </w:r>
          </w:p>
          <w:p>
            <w:pPr>
              <w:pStyle w:val="16"/>
              <w:rPr>
                <w:rFonts w:ascii="宋体" w:hAnsi="宋体" w:eastAsia="宋体"/>
                <w:b w:val="0"/>
                <w:sz w:val="18"/>
              </w:rPr>
            </w:pPr>
          </w:p>
        </w:tc>
        <w:tc>
          <w:tcPr>
            <w:tcW w:w="7072" w:type="dxa"/>
            <w:gridSpan w:val="7"/>
            <w:tcBorders>
              <w:top w:val="single" w:color="auto" w:sz="2" w:space="0"/>
              <w:left w:val="single" w:color="auto" w:sz="2" w:space="0"/>
              <w:bottom w:val="single" w:color="auto" w:sz="8" w:space="0"/>
              <w:right w:val="nil"/>
            </w:tcBorders>
          </w:tcPr>
          <w:p>
            <w:pPr>
              <w:pStyle w:val="16"/>
              <w:rPr>
                <w:rFonts w:ascii="宋体" w:hAnsi="宋体" w:eastAsia="宋体"/>
                <w:b w:val="0"/>
                <w:sz w:val="18"/>
              </w:rPr>
            </w:pPr>
          </w:p>
        </w:tc>
      </w:tr>
    </w:tbl>
    <w:p>
      <w:pPr>
        <w:pStyle w:val="16"/>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6"/>
        <w:rPr>
          <w:rFonts w:ascii="宋体" w:hAnsi="宋体" w:eastAsia="宋体"/>
          <w:b w:val="0"/>
          <w:sz w:val="18"/>
        </w:rPr>
      </w:pPr>
      <w:r>
        <w:rPr>
          <w:rFonts w:hint="eastAsia" w:ascii="宋体" w:hAnsi="宋体" w:eastAsia="宋体"/>
          <w:b w:val="0"/>
          <w:sz w:val="18"/>
        </w:rPr>
        <w:t>说明：1.本表综合反映报告期境内投资者通过境外企业再投资的最终目的国家（地区）企业和项目等基本情况。境外企业在本企业注册国家（地区）内进行的再投资活动不属于再投资统计范畴。境外企业再投资回中国内地的投资属返程投资，不在本表中反映。首个投资国家（地区）是境外离岸中心的境外企业，必须填报此表。</w:t>
      </w:r>
    </w:p>
    <w:p>
      <w:pPr>
        <w:pStyle w:val="16"/>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rPr>
        <w:t>6月20日</w:t>
      </w:r>
      <w:r>
        <w:rPr>
          <w:rFonts w:hint="eastAsia" w:ascii="宋体" w:hAnsi="宋体" w:eastAsia="宋体"/>
          <w:b w:val="0"/>
          <w:sz w:val="18"/>
        </w:rPr>
        <w:t>前报省级商务主管部门或商务部。</w:t>
      </w:r>
    </w:p>
    <w:p>
      <w:pPr>
        <w:pStyle w:val="16"/>
        <w:ind w:firstLine="540"/>
        <w:rPr>
          <w:rFonts w:ascii="宋体" w:hAnsi="宋体" w:eastAsia="宋体"/>
          <w:b w:val="0"/>
          <w:sz w:val="18"/>
        </w:rPr>
      </w:pPr>
      <w:r>
        <w:rPr>
          <w:rFonts w:hint="eastAsia" w:ascii="宋体" w:hAnsi="宋体" w:eastAsia="宋体"/>
          <w:b w:val="0"/>
          <w:sz w:val="18"/>
        </w:rPr>
        <w:t>3.本表要求按境外企业再投资的最终国家（地区）分别填报。</w:t>
      </w:r>
    </w:p>
    <w:p>
      <w:pPr>
        <w:pStyle w:val="16"/>
        <w:ind w:firstLine="540"/>
        <w:rPr>
          <w:rFonts w:ascii="宋体" w:hAnsi="宋体" w:eastAsia="宋体"/>
          <w:b w:val="0"/>
          <w:sz w:val="18"/>
        </w:rPr>
      </w:pPr>
      <w:r>
        <w:rPr>
          <w:rFonts w:hint="eastAsia" w:ascii="宋体" w:hAnsi="宋体" w:eastAsia="宋体"/>
          <w:b w:val="0"/>
          <w:sz w:val="18"/>
        </w:rPr>
        <w:t>4.直接投资企业：指境内投资者直接拥有或控制10%或以上投票权（对公司型企业）或其他等价利益的境外企业，本表指发生再投资行为的一级境外企业。</w:t>
      </w:r>
    </w:p>
    <w:p>
      <w:pPr>
        <w:pStyle w:val="16"/>
        <w:ind w:firstLine="540"/>
        <w:rPr>
          <w:rFonts w:ascii="宋体" w:hAnsi="宋体" w:eastAsia="宋体"/>
          <w:b w:val="0"/>
          <w:sz w:val="18"/>
        </w:rPr>
      </w:pPr>
      <w:r>
        <w:rPr>
          <w:rFonts w:hint="eastAsia" w:ascii="宋体" w:hAnsi="宋体" w:eastAsia="宋体"/>
          <w:b w:val="0"/>
          <w:sz w:val="18"/>
        </w:rPr>
        <w:t>5.当期各类投资流量：指境内投资者报告年度通过境外企业再投资到最终目的国家（地区）企业或项目的金额总和。包括报告年度境内投资者和境外企业以各种方式（自有资金、境内银行贷款、境外融资等）形成的股本、收益再投资、债务工具的增加或减少金额。</w:t>
      </w:r>
    </w:p>
    <w:p>
      <w:pPr>
        <w:pStyle w:val="16"/>
        <w:ind w:firstLine="540"/>
        <w:rPr>
          <w:rFonts w:ascii="宋体" w:hAnsi="宋体" w:eastAsia="宋体"/>
          <w:b w:val="0"/>
          <w:sz w:val="18"/>
        </w:rPr>
      </w:pPr>
      <w:r>
        <w:rPr>
          <w:rFonts w:hint="eastAsia" w:ascii="宋体" w:hAnsi="宋体" w:eastAsia="宋体"/>
          <w:b w:val="0"/>
          <w:sz w:val="18"/>
        </w:rPr>
        <w:t>6.年末各类投资存量;指截至报告期末境内投资者（或其境外企业）对该境外企业或项目实现的投资总额。包括境内投资者（或境外企业）通过各种渠道（包括自有资金、境内外银行贷款等）投入的资金总和。详见主要指标解释。</w:t>
      </w:r>
    </w:p>
    <w:p>
      <w:pPr>
        <w:pStyle w:val="16"/>
        <w:ind w:firstLine="540"/>
        <w:rPr>
          <w:rFonts w:ascii="宋体" w:hAnsi="宋体" w:eastAsia="宋体"/>
          <w:b w:val="0"/>
          <w:sz w:val="18"/>
        </w:rPr>
      </w:pPr>
      <w:r>
        <w:rPr>
          <w:rFonts w:hint="eastAsia" w:ascii="宋体" w:hAnsi="宋体" w:eastAsia="宋体"/>
          <w:b w:val="0"/>
          <w:sz w:val="18"/>
        </w:rPr>
        <w:t>7.再投资最终投资的境外企业或项目行业代码参照附录一。</w:t>
      </w:r>
    </w:p>
    <w:p>
      <w:pPr>
        <w:pStyle w:val="16"/>
        <w:ind w:left="3420" w:hanging="3420" w:hangingChars="1900"/>
        <w:rPr>
          <w:rFonts w:ascii="宋体" w:hAnsi="宋体"/>
          <w:b w:val="0"/>
          <w:sz w:val="32"/>
          <w:szCs w:val="32"/>
        </w:rPr>
      </w:pPr>
      <w:r>
        <w:rPr>
          <w:rFonts w:hint="eastAsia" w:ascii="宋体" w:hAnsi="宋体" w:eastAsia="宋体"/>
          <w:b w:val="0"/>
          <w:sz w:val="18"/>
        </w:rPr>
        <w:t xml:space="preserve">　　　　　　　　　　　　　　　　　　　　　　　　　                      　　　　　　　　　　 </w:t>
      </w:r>
    </w:p>
    <w:p>
      <w:pPr>
        <w:ind w:left="-319" w:leftChars="-152" w:firstLine="262" w:firstLineChars="82"/>
        <w:jc w:val="center"/>
        <w:rPr>
          <w:rFonts w:ascii="宋体" w:hAnsi="宋体"/>
          <w:b/>
          <w:sz w:val="32"/>
          <w:szCs w:val="32"/>
        </w:rPr>
      </w:pPr>
      <w:r>
        <w:rPr>
          <w:rFonts w:hint="eastAsia" w:ascii="宋体" w:hAnsi="宋体"/>
          <w:b/>
          <w:sz w:val="32"/>
          <w:szCs w:val="32"/>
        </w:rPr>
        <w:br w:type="page"/>
      </w:r>
    </w:p>
    <w:p>
      <w:pPr>
        <w:ind w:left="-319" w:leftChars="-152" w:firstLine="262" w:firstLineChars="82"/>
        <w:jc w:val="center"/>
        <w:rPr>
          <w:rFonts w:ascii="宋体" w:hAnsi="宋体"/>
          <w:b/>
          <w:sz w:val="32"/>
          <w:szCs w:val="32"/>
        </w:rPr>
      </w:pPr>
      <w:r>
        <w:rPr>
          <w:rFonts w:hint="eastAsia" w:ascii="宋体" w:hAnsi="宋体"/>
          <w:b/>
          <w:sz w:val="32"/>
          <w:szCs w:val="32"/>
        </w:rPr>
        <w:t>境外主要矿产资源情况</w:t>
      </w:r>
    </w:p>
    <w:tbl>
      <w:tblPr>
        <w:tblStyle w:val="11"/>
        <w:tblW w:w="9785" w:type="dxa"/>
        <w:tblInd w:w="0" w:type="dxa"/>
        <w:tblLayout w:type="fixed"/>
        <w:tblCellMar>
          <w:top w:w="0" w:type="dxa"/>
          <w:left w:w="108" w:type="dxa"/>
          <w:bottom w:w="0" w:type="dxa"/>
          <w:right w:w="108" w:type="dxa"/>
        </w:tblCellMar>
      </w:tblPr>
      <w:tblGrid>
        <w:gridCol w:w="1665"/>
        <w:gridCol w:w="918"/>
        <w:gridCol w:w="947"/>
        <w:gridCol w:w="831"/>
        <w:gridCol w:w="710"/>
        <w:gridCol w:w="991"/>
        <w:gridCol w:w="479"/>
        <w:gridCol w:w="470"/>
        <w:gridCol w:w="1552"/>
        <w:gridCol w:w="1142"/>
        <w:gridCol w:w="80"/>
      </w:tblGrid>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7表</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1665" w:type="dxa"/>
            <w:tcBorders>
              <w:top w:val="single" w:color="auto" w:sz="8"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控制资源的境外企业名称</w:t>
            </w:r>
          </w:p>
        </w:tc>
        <w:tc>
          <w:tcPr>
            <w:tcW w:w="918"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境外企业所在国家地区</w:t>
            </w:r>
          </w:p>
        </w:tc>
        <w:tc>
          <w:tcPr>
            <w:tcW w:w="947"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矿产所在国家地区</w:t>
            </w:r>
          </w:p>
        </w:tc>
        <w:tc>
          <w:tcPr>
            <w:tcW w:w="831"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矿产资源名称</w:t>
            </w:r>
          </w:p>
        </w:tc>
        <w:tc>
          <w:tcPr>
            <w:tcW w:w="710"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计量单位</w:t>
            </w:r>
          </w:p>
        </w:tc>
        <w:tc>
          <w:tcPr>
            <w:tcW w:w="991"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剩余经济可采储量</w:t>
            </w:r>
          </w:p>
        </w:tc>
        <w:tc>
          <w:tcPr>
            <w:tcW w:w="949" w:type="dxa"/>
            <w:gridSpan w:val="2"/>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当年权益产量</w:t>
            </w:r>
          </w:p>
        </w:tc>
        <w:tc>
          <w:tcPr>
            <w:tcW w:w="1552" w:type="dxa"/>
            <w:tcBorders>
              <w:top w:val="single" w:color="auto" w:sz="8"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累计各类投资额</w:t>
            </w:r>
          </w:p>
        </w:tc>
        <w:tc>
          <w:tcPr>
            <w:tcW w:w="1222" w:type="dxa"/>
            <w:gridSpan w:val="2"/>
            <w:tcBorders>
              <w:top w:val="single" w:color="auto" w:sz="8" w:space="0"/>
              <w:left w:val="single" w:color="auto" w:sz="2" w:space="0"/>
              <w:bottom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5" w:type="dxa"/>
            <w:tcBorders>
              <w:top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甲</w:t>
            </w:r>
          </w:p>
        </w:tc>
        <w:tc>
          <w:tcPr>
            <w:tcW w:w="918"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bCs/>
                <w:sz w:val="18"/>
                <w:szCs w:val="18"/>
              </w:rPr>
            </w:pPr>
            <w:r>
              <w:rPr>
                <w:rFonts w:hint="eastAsia" w:ascii="宋体" w:hAnsi="宋体"/>
                <w:bCs/>
                <w:sz w:val="18"/>
                <w:szCs w:val="18"/>
              </w:rPr>
              <w:t>乙</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丙</w:t>
            </w:r>
          </w:p>
        </w:tc>
        <w:tc>
          <w:tcPr>
            <w:tcW w:w="831"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丁</w:t>
            </w:r>
          </w:p>
        </w:tc>
        <w:tc>
          <w:tcPr>
            <w:tcW w:w="710"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bCs/>
                <w:sz w:val="18"/>
                <w:szCs w:val="18"/>
              </w:rPr>
            </w:pPr>
            <w:r>
              <w:rPr>
                <w:rFonts w:hint="eastAsia" w:ascii="宋体" w:hAnsi="宋体"/>
                <w:bCs/>
                <w:sz w:val="18"/>
                <w:szCs w:val="18"/>
              </w:rPr>
              <w:t>戊</w:t>
            </w:r>
          </w:p>
        </w:tc>
        <w:tc>
          <w:tcPr>
            <w:tcW w:w="991"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1</w:t>
            </w:r>
          </w:p>
        </w:tc>
        <w:tc>
          <w:tcPr>
            <w:tcW w:w="94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2</w:t>
            </w:r>
          </w:p>
        </w:tc>
        <w:tc>
          <w:tcPr>
            <w:tcW w:w="1552"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bCs/>
                <w:sz w:val="18"/>
                <w:szCs w:val="18"/>
              </w:rPr>
            </w:pPr>
            <w:r>
              <w:rPr>
                <w:rFonts w:hint="eastAsia" w:ascii="宋体" w:hAnsi="宋体"/>
                <w:bCs/>
                <w:sz w:val="18"/>
                <w:szCs w:val="18"/>
              </w:rPr>
              <w:t>3</w:t>
            </w:r>
          </w:p>
        </w:tc>
        <w:tc>
          <w:tcPr>
            <w:tcW w:w="1222" w:type="dxa"/>
            <w:gridSpan w:val="2"/>
            <w:tcBorders>
              <w:top w:val="single" w:color="auto" w:sz="2" w:space="0"/>
              <w:left w:val="single" w:color="auto" w:sz="2" w:space="0"/>
              <w:bottom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665" w:type="dxa"/>
            <w:tcBorders>
              <w:top w:val="single" w:color="auto" w:sz="2" w:space="0"/>
              <w:bottom w:val="single" w:color="auto" w:sz="8" w:space="0"/>
              <w:right w:val="single" w:color="auto" w:sz="2" w:space="0"/>
            </w:tcBorders>
            <w:shd w:val="clear" w:color="auto" w:fill="auto"/>
          </w:tcPr>
          <w:p>
            <w:pPr>
              <w:jc w:val="center"/>
              <w:rPr>
                <w:rFonts w:ascii="宋体" w:hAnsi="宋体"/>
                <w:bCs/>
                <w:sz w:val="18"/>
              </w:rPr>
            </w:pPr>
            <w:r>
              <w:rPr>
                <w:rFonts w:hint="eastAsia" w:ascii="宋体" w:hAnsi="宋体"/>
                <w:bCs/>
                <w:sz w:val="18"/>
              </w:rPr>
              <w:t>**企业</w:t>
            </w:r>
          </w:p>
          <w:p>
            <w:pPr>
              <w:jc w:val="center"/>
              <w:rPr>
                <w:rFonts w:ascii="宋体" w:hAnsi="宋体"/>
                <w:bCs/>
                <w:sz w:val="18"/>
                <w:szCs w:val="18"/>
              </w:rPr>
            </w:pPr>
            <w:r>
              <w:rPr>
                <w:rFonts w:hint="eastAsia" w:ascii="宋体" w:hAnsi="宋体"/>
                <w:bCs/>
                <w:sz w:val="18"/>
              </w:rPr>
              <w:t>**企业</w:t>
            </w:r>
          </w:p>
        </w:tc>
        <w:tc>
          <w:tcPr>
            <w:tcW w:w="918" w:type="dxa"/>
            <w:tcBorders>
              <w:top w:val="single" w:color="auto" w:sz="2" w:space="0"/>
              <w:left w:val="single" w:color="auto" w:sz="2" w:space="0"/>
              <w:bottom w:val="single" w:color="auto" w:sz="8" w:space="0"/>
              <w:right w:val="nil"/>
            </w:tcBorders>
            <w:shd w:val="clear" w:color="auto" w:fill="auto"/>
          </w:tcPr>
          <w:p>
            <w:pPr>
              <w:rPr>
                <w:rFonts w:ascii="宋体" w:hAnsi="宋体"/>
                <w:bCs/>
                <w:sz w:val="18"/>
                <w:szCs w:val="18"/>
              </w:rPr>
            </w:pPr>
          </w:p>
        </w:tc>
        <w:tc>
          <w:tcPr>
            <w:tcW w:w="947"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831"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710"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991"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949" w:type="dxa"/>
            <w:gridSpan w:val="2"/>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1552"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1222" w:type="dxa"/>
            <w:gridSpan w:val="2"/>
            <w:tcBorders>
              <w:top w:val="single" w:color="auto" w:sz="2" w:space="0"/>
              <w:left w:val="nil"/>
              <w:bottom w:val="single" w:color="auto" w:sz="8" w:space="0"/>
            </w:tcBorders>
            <w:shd w:val="clear" w:color="auto" w:fill="auto"/>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ascii="宋体" w:hAnsi="宋体"/>
          <w:bCs/>
          <w:sz w:val="18"/>
          <w:szCs w:val="18"/>
        </w:rPr>
      </w:pPr>
      <w:r>
        <w:rPr>
          <w:rFonts w:hint="eastAsia" w:ascii="宋体" w:hAnsi="宋体"/>
          <w:bCs/>
          <w:sz w:val="18"/>
          <w:szCs w:val="18"/>
        </w:rPr>
        <w:t>说明：1.本表反映截至报告期我国企业通过对外投资在国（境）外拥有的能源矿产、金属矿产以及非金属矿产等主要矿产资源的情况。统计范围不包括处于勘探阶段尚未进行开采的境外企业。</w:t>
      </w:r>
    </w:p>
    <w:p>
      <w:pPr>
        <w:ind w:firstLine="525" w:firstLineChars="292"/>
        <w:rPr>
          <w:rFonts w:ascii="宋体" w:hAnsi="宋体"/>
          <w:bCs/>
          <w:sz w:val="18"/>
          <w:szCs w:val="18"/>
        </w:rPr>
      </w:pPr>
      <w:r>
        <w:rPr>
          <w:rFonts w:hint="eastAsia" w:ascii="宋体" w:hAnsi="宋体"/>
          <w:bCs/>
          <w:sz w:val="18"/>
          <w:szCs w:val="18"/>
        </w:rPr>
        <w:t>2.本表由境内投资者于年后6月20日前报省级商务主管部门或商务部。</w:t>
      </w:r>
    </w:p>
    <w:p>
      <w:pPr>
        <w:ind w:firstLine="525" w:firstLineChars="292"/>
        <w:rPr>
          <w:rFonts w:ascii="宋体" w:hAnsi="宋体"/>
          <w:bCs/>
          <w:sz w:val="18"/>
          <w:szCs w:val="18"/>
        </w:rPr>
      </w:pPr>
      <w:r>
        <w:rPr>
          <w:rFonts w:hint="eastAsia" w:ascii="宋体" w:hAnsi="宋体"/>
          <w:bCs/>
          <w:sz w:val="18"/>
          <w:szCs w:val="18"/>
        </w:rPr>
        <w:t>3.以下矿产资源纳入统计制度：</w:t>
      </w:r>
    </w:p>
    <w:p>
      <w:pPr>
        <w:ind w:firstLine="525" w:firstLineChars="292"/>
        <w:rPr>
          <w:rFonts w:ascii="宋体" w:hAnsi="宋体"/>
          <w:bCs/>
          <w:sz w:val="18"/>
          <w:szCs w:val="18"/>
        </w:rPr>
      </w:pPr>
      <w:r>
        <w:rPr>
          <w:rFonts w:hint="eastAsia" w:ascii="宋体" w:hAnsi="宋体"/>
          <w:bCs/>
          <w:sz w:val="18"/>
          <w:szCs w:val="18"/>
        </w:rPr>
        <w:t>（1）能源矿产：石油（计量单位：万吨）、天然气（计量单位：亿立方米）、煤（计量单位：亿吨）、油页岩（计量单位：亿立方米）、铀（计量单位：万吨）、页岩气（计量单位：亿立方米）、其他未列明能源矿产（计量单位自行标注）；</w:t>
      </w:r>
    </w:p>
    <w:p>
      <w:pPr>
        <w:ind w:firstLine="525" w:firstLineChars="292"/>
        <w:rPr>
          <w:rFonts w:ascii="宋体" w:hAnsi="宋体"/>
          <w:bCs/>
          <w:sz w:val="18"/>
          <w:szCs w:val="18"/>
        </w:rPr>
      </w:pPr>
      <w:r>
        <w:rPr>
          <w:rFonts w:hint="eastAsia" w:ascii="宋体" w:hAnsi="宋体"/>
          <w:bCs/>
          <w:sz w:val="18"/>
          <w:szCs w:val="18"/>
        </w:rPr>
        <w:t>（2）金属矿产：铁矿（计量单位：亿吨）、铜矿（计量单位：万吨）、铅矿（计量单位：万吨）、锌矿（计量单位：万吨）、铝土矿（计量单位：万吨）、镍矿（计量单位：万吨）、铌矿（计量单位：万吨）、钴矿（计量单位：万吨）、金矿（计量单位：吨）、银矿（计量单位：吨）、其他未列明金属矿产（计量单位自行标注）；</w:t>
      </w:r>
    </w:p>
    <w:p>
      <w:pPr>
        <w:ind w:firstLine="525" w:firstLineChars="292"/>
        <w:rPr>
          <w:rFonts w:ascii="宋体" w:hAnsi="宋体"/>
          <w:bCs/>
          <w:sz w:val="18"/>
          <w:szCs w:val="18"/>
        </w:rPr>
      </w:pPr>
      <w:r>
        <w:rPr>
          <w:rFonts w:hint="eastAsia" w:ascii="宋体" w:hAnsi="宋体"/>
          <w:bCs/>
          <w:sz w:val="18"/>
          <w:szCs w:val="18"/>
        </w:rPr>
        <w:t>（3）非金属矿产：金刚石（计量单位：万克拉）、硫铁矿（计量单位：万吨）、钾盐（计量单位：吨）、磷矿（计量单位：吨）、菱镁矿（计量单位：万吨）、蛭石（计量单位：万吨）。</w:t>
      </w:r>
    </w:p>
    <w:p>
      <w:pPr>
        <w:ind w:firstLine="536" w:firstLineChars="298"/>
        <w:rPr>
          <w:rFonts w:ascii="宋体" w:hAnsi="宋体"/>
          <w:bCs/>
          <w:sz w:val="18"/>
          <w:szCs w:val="18"/>
        </w:rPr>
      </w:pPr>
      <w:r>
        <w:rPr>
          <w:rFonts w:hint="eastAsia" w:ascii="宋体" w:hAnsi="宋体"/>
          <w:bCs/>
          <w:sz w:val="18"/>
          <w:szCs w:val="18"/>
        </w:rPr>
        <w:t xml:space="preserve">4.剩余经济可采储量：是指经过经济评价认定、在评价期内具有商业效益的可采储量，扣减报告期末累计开采量的剩余值。 </w:t>
      </w:r>
    </w:p>
    <w:p>
      <w:pPr>
        <w:ind w:firstLine="529" w:firstLineChars="294"/>
        <w:rPr>
          <w:rFonts w:ascii="宋体" w:hAnsi="宋体"/>
          <w:bCs/>
          <w:sz w:val="18"/>
          <w:szCs w:val="18"/>
        </w:rPr>
      </w:pPr>
      <w:r>
        <w:rPr>
          <w:rFonts w:hint="eastAsia" w:ascii="宋体" w:hAnsi="宋体"/>
          <w:bCs/>
          <w:sz w:val="18"/>
          <w:szCs w:val="18"/>
        </w:rPr>
        <w:t>5.当年权益产量等于中方所占份额百分比乘以当年总产量。</w:t>
      </w:r>
    </w:p>
    <w:p>
      <w:pPr>
        <w:ind w:firstLine="529" w:firstLineChars="294"/>
        <w:rPr>
          <w:rFonts w:ascii="宋体" w:hAnsi="宋体"/>
          <w:bCs/>
          <w:sz w:val="18"/>
          <w:szCs w:val="18"/>
        </w:rPr>
      </w:pPr>
      <w:r>
        <w:rPr>
          <w:rFonts w:hint="eastAsia" w:ascii="宋体" w:hAnsi="宋体"/>
          <w:bCs/>
          <w:sz w:val="18"/>
          <w:szCs w:val="18"/>
        </w:rPr>
        <w:t>6.剩余经济可采储量、当年权益产量均指矿含量，而不是矿石含量。</w:t>
      </w:r>
    </w:p>
    <w:p>
      <w:pPr>
        <w:ind w:firstLine="529" w:firstLineChars="294"/>
        <w:rPr>
          <w:rFonts w:ascii="宋体" w:hAnsi="宋体"/>
          <w:b/>
          <w:sz w:val="18"/>
          <w:szCs w:val="18"/>
        </w:rPr>
      </w:pPr>
      <w:r>
        <w:rPr>
          <w:rFonts w:hint="eastAsia" w:ascii="宋体" w:hAnsi="宋体"/>
          <w:bCs/>
          <w:sz w:val="18"/>
          <w:szCs w:val="18"/>
        </w:rPr>
        <w:t>7.累计各类投资额：</w:t>
      </w:r>
      <w:r>
        <w:rPr>
          <w:rFonts w:hint="eastAsia" w:ascii="宋体" w:hAnsi="宋体"/>
          <w:bCs/>
          <w:sz w:val="18"/>
        </w:rPr>
        <w:t>指截至报告期末境内投资者（或其境外企业）对该境外企业或项目实现的投资总额。包括境内投资者（或境外企业）通过各种渠道（包括自有资金、境内外银行贷款等）投入的资金总和。</w:t>
      </w:r>
      <w:r>
        <w:rPr>
          <w:rFonts w:hint="eastAsia" w:ascii="宋体" w:hAnsi="宋体"/>
          <w:bCs/>
          <w:sz w:val="18"/>
          <w:szCs w:val="18"/>
        </w:rPr>
        <w:t>若所购买的矿产资源并非单一矿，则累计各类投资额须根据各种矿的产量比例分摊；若其他伴生矿产量很小，则累计各类投资额只计入产量最大的矿产资源名下。</w:t>
      </w:r>
    </w:p>
    <w:p>
      <w:pPr>
        <w:jc w:val="center"/>
        <w:rPr>
          <w:rFonts w:ascii="宋体" w:hAnsi="宋体"/>
          <w:b/>
          <w:bCs/>
          <w:sz w:val="18"/>
          <w:szCs w:val="18"/>
        </w:rPr>
      </w:pPr>
      <w:r>
        <w:rPr>
          <w:rFonts w:ascii="宋体" w:hAnsi="宋体"/>
          <w:b/>
          <w:bCs/>
          <w:sz w:val="18"/>
          <w:szCs w:val="18"/>
        </w:rPr>
        <w:br w:type="page"/>
      </w:r>
      <w:r>
        <w:rPr>
          <w:rFonts w:hint="eastAsia" w:ascii="宋体" w:hAnsi="宋体"/>
          <w:b/>
          <w:bCs/>
          <w:sz w:val="32"/>
          <w:szCs w:val="32"/>
        </w:rPr>
        <w:t>主要</w:t>
      </w:r>
      <w:r>
        <w:rPr>
          <w:rFonts w:hint="eastAsia" w:ascii="宋体" w:hAnsi="宋体"/>
          <w:b/>
          <w:sz w:val="32"/>
          <w:szCs w:val="32"/>
        </w:rPr>
        <w:t>国际产能合作领域情况</w:t>
      </w:r>
    </w:p>
    <w:tbl>
      <w:tblPr>
        <w:tblStyle w:val="11"/>
        <w:tblW w:w="9705" w:type="dxa"/>
        <w:tblInd w:w="0" w:type="dxa"/>
        <w:tblLayout w:type="fixed"/>
        <w:tblCellMar>
          <w:top w:w="0" w:type="dxa"/>
          <w:left w:w="108" w:type="dxa"/>
          <w:bottom w:w="0" w:type="dxa"/>
          <w:right w:w="108" w:type="dxa"/>
        </w:tblCellMar>
      </w:tblPr>
      <w:tblGrid>
        <w:gridCol w:w="2095"/>
        <w:gridCol w:w="985"/>
        <w:gridCol w:w="932"/>
        <w:gridCol w:w="990"/>
        <w:gridCol w:w="989"/>
        <w:gridCol w:w="550"/>
        <w:gridCol w:w="479"/>
        <w:gridCol w:w="972"/>
        <w:gridCol w:w="606"/>
        <w:gridCol w:w="1107"/>
      </w:tblGrid>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8表</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541"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Layout w:type="fixed"/>
          <w:tblCellMar>
            <w:top w:w="0" w:type="dxa"/>
            <w:left w:w="108" w:type="dxa"/>
            <w:bottom w:w="0" w:type="dxa"/>
            <w:right w:w="108" w:type="dxa"/>
          </w:tblCellMar>
        </w:tblPrEx>
        <w:trPr>
          <w:trHeight w:val="90" w:hRule="atLeast"/>
        </w:trPr>
        <w:tc>
          <w:tcPr>
            <w:tcW w:w="2095"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领域/境外企业</w:t>
            </w:r>
          </w:p>
        </w:tc>
        <w:tc>
          <w:tcPr>
            <w:tcW w:w="98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境外企业所在国家及城市</w:t>
            </w:r>
          </w:p>
        </w:tc>
        <w:tc>
          <w:tcPr>
            <w:tcW w:w="93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中方持股比例（%）</w:t>
            </w:r>
          </w:p>
        </w:tc>
        <w:tc>
          <w:tcPr>
            <w:tcW w:w="99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设计生产能力/年</w:t>
            </w:r>
          </w:p>
        </w:tc>
        <w:tc>
          <w:tcPr>
            <w:tcW w:w="98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截至报告期累计各类投资额</w:t>
            </w:r>
          </w:p>
        </w:tc>
        <w:tc>
          <w:tcPr>
            <w:tcW w:w="1029"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当年实现销售收入</w:t>
            </w:r>
          </w:p>
        </w:tc>
        <w:tc>
          <w:tcPr>
            <w:tcW w:w="97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当年带动国内出口</w:t>
            </w:r>
          </w:p>
        </w:tc>
        <w:tc>
          <w:tcPr>
            <w:tcW w:w="1713" w:type="dxa"/>
            <w:gridSpan w:val="2"/>
            <w:tcBorders>
              <w:top w:val="single" w:color="auto" w:sz="8" w:space="0"/>
              <w:left w:val="single" w:color="auto" w:sz="8" w:space="0"/>
              <w:bottom w:val="nil"/>
              <w:right w:val="nil"/>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从业人员期末人数</w:t>
            </w:r>
          </w:p>
        </w:tc>
      </w:tr>
      <w:tr>
        <w:tblPrEx>
          <w:tblLayout w:type="fixed"/>
          <w:tblCellMar>
            <w:top w:w="0" w:type="dxa"/>
            <w:left w:w="108" w:type="dxa"/>
            <w:bottom w:w="0" w:type="dxa"/>
            <w:right w:w="108" w:type="dxa"/>
          </w:tblCellMar>
        </w:tblPrEx>
        <w:trPr>
          <w:trHeight w:val="270" w:hRule="atLeast"/>
        </w:trPr>
        <w:tc>
          <w:tcPr>
            <w:tcW w:w="2095" w:type="dxa"/>
            <w:vMerge w:val="continue"/>
            <w:tcBorders>
              <w:top w:val="single" w:color="auto" w:sz="8" w:space="0"/>
              <w:left w:val="nil"/>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85"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3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90" w:type="dxa"/>
            <w:vMerge w:val="continue"/>
            <w:tcBorders>
              <w:left w:val="single" w:color="auto"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8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1029"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7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single" w:color="auto" w:sz="8" w:space="0"/>
              <w:left w:val="nil"/>
              <w:bottom w:val="nil"/>
              <w:right w:val="nil"/>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其中：</w:t>
            </w:r>
          </w:p>
        </w:tc>
      </w:tr>
      <w:tr>
        <w:tblPrEx>
          <w:tblLayout w:type="fixed"/>
          <w:tblCellMar>
            <w:top w:w="0" w:type="dxa"/>
            <w:left w:w="108" w:type="dxa"/>
            <w:bottom w:w="0" w:type="dxa"/>
            <w:right w:w="108" w:type="dxa"/>
          </w:tblCellMar>
        </w:tblPrEx>
        <w:trPr>
          <w:trHeight w:val="285" w:hRule="atLeast"/>
        </w:trPr>
        <w:tc>
          <w:tcPr>
            <w:tcW w:w="2095" w:type="dxa"/>
            <w:vMerge w:val="continue"/>
            <w:tcBorders>
              <w:top w:val="single" w:color="auto" w:sz="8" w:space="0"/>
              <w:left w:val="nil"/>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85"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3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90" w:type="dxa"/>
            <w:vMerge w:val="continue"/>
            <w:tcBorders>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8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1029"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97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60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1107" w:type="dxa"/>
            <w:tcBorders>
              <w:top w:val="nil"/>
              <w:left w:val="nil"/>
              <w:bottom w:val="single" w:color="auto" w:sz="8" w:space="0"/>
              <w:right w:val="nil"/>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外方</w:t>
            </w:r>
          </w:p>
        </w:tc>
      </w:tr>
      <w:tr>
        <w:tblPrEx>
          <w:tblLayout w:type="fixed"/>
          <w:tblCellMar>
            <w:top w:w="0" w:type="dxa"/>
            <w:left w:w="108" w:type="dxa"/>
            <w:bottom w:w="0" w:type="dxa"/>
            <w:right w:w="108" w:type="dxa"/>
          </w:tblCellMar>
        </w:tblPrEx>
        <w:trPr>
          <w:trHeight w:val="285" w:hRule="atLeast"/>
        </w:trPr>
        <w:tc>
          <w:tcPr>
            <w:tcW w:w="209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甲</w:t>
            </w:r>
          </w:p>
        </w:tc>
        <w:tc>
          <w:tcPr>
            <w:tcW w:w="9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乙</w:t>
            </w:r>
          </w:p>
        </w:tc>
        <w:tc>
          <w:tcPr>
            <w:tcW w:w="93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1029"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97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c>
          <w:tcPr>
            <w:tcW w:w="6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1107" w:type="dxa"/>
            <w:tcBorders>
              <w:top w:val="nil"/>
              <w:left w:val="nil"/>
              <w:bottom w:val="single" w:color="auto" w:sz="8" w:space="0"/>
              <w:right w:val="nil"/>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r>
      <w:tr>
        <w:tblPrEx>
          <w:tblLayout w:type="fixed"/>
          <w:tblCellMar>
            <w:top w:w="0" w:type="dxa"/>
            <w:left w:w="108" w:type="dxa"/>
            <w:bottom w:w="0" w:type="dxa"/>
            <w:right w:w="108" w:type="dxa"/>
          </w:tblCellMar>
        </w:tblPrEx>
        <w:trPr>
          <w:trHeight w:val="294" w:hRule="atLeast"/>
        </w:trPr>
        <w:tc>
          <w:tcPr>
            <w:tcW w:w="2095" w:type="dxa"/>
            <w:tcBorders>
              <w:top w:val="single" w:color="auto" w:sz="8" w:space="0"/>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一、</w:t>
            </w:r>
            <w:r>
              <w:rPr>
                <w:rFonts w:ascii="宋体" w:hAnsi="宋体"/>
                <w:bCs/>
                <w:color w:val="000000"/>
                <w:kern w:val="0"/>
                <w:sz w:val="18"/>
                <w:szCs w:val="18"/>
              </w:rPr>
              <w:t xml:space="preserve"> </w:t>
            </w:r>
            <w:r>
              <w:rPr>
                <w:rFonts w:hint="eastAsia" w:ascii="宋体" w:hAnsi="宋体" w:cs="宋体"/>
                <w:bCs/>
                <w:color w:val="000000"/>
                <w:kern w:val="0"/>
                <w:sz w:val="18"/>
                <w:szCs w:val="18"/>
              </w:rPr>
              <w:t>钢铁企业</w:t>
            </w:r>
          </w:p>
        </w:tc>
        <w:tc>
          <w:tcPr>
            <w:tcW w:w="985" w:type="dxa"/>
            <w:tcBorders>
              <w:top w:val="single" w:color="auto" w:sz="8" w:space="0"/>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single" w:color="auto" w:sz="8" w:space="0"/>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189"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restart"/>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65"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二、</w:t>
            </w:r>
            <w:r>
              <w:rPr>
                <w:rFonts w:ascii="宋体" w:hAnsi="宋体"/>
                <w:bCs/>
                <w:color w:val="000000"/>
                <w:kern w:val="0"/>
                <w:sz w:val="18"/>
                <w:szCs w:val="18"/>
              </w:rPr>
              <w:t xml:space="preserve"> </w:t>
            </w:r>
            <w:r>
              <w:rPr>
                <w:rFonts w:hint="eastAsia" w:ascii="宋体" w:hAnsi="宋体" w:cs="宋体"/>
                <w:bCs/>
                <w:color w:val="000000"/>
                <w:kern w:val="0"/>
                <w:sz w:val="18"/>
                <w:szCs w:val="18"/>
              </w:rPr>
              <w:t>水泥企业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三、平板玻璃生产企业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四、电力生产企业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1、火力发电厂</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18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2、水利发电厂</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3、核能发电厂</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4、风力发电厂</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5、太阳能光伏电站</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762" w:hRule="atLeast"/>
        </w:trPr>
        <w:tc>
          <w:tcPr>
            <w:tcW w:w="2095" w:type="dxa"/>
            <w:tcBorders>
              <w:top w:val="nil"/>
              <w:left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p>
            <w:pPr>
              <w:rPr>
                <w:rFonts w:ascii="宋体" w:hAnsi="宋体" w:cs="宋体"/>
                <w:bCs/>
                <w:color w:val="000000"/>
                <w:kern w:val="0"/>
                <w:sz w:val="18"/>
                <w:szCs w:val="18"/>
              </w:rPr>
            </w:pPr>
            <w:r>
              <w:rPr>
                <w:rFonts w:hint="eastAsia" w:ascii="宋体" w:hAnsi="宋体" w:cs="宋体"/>
                <w:bCs/>
                <w:color w:val="000000"/>
                <w:kern w:val="0"/>
                <w:sz w:val="18"/>
                <w:szCs w:val="18"/>
              </w:rPr>
              <w:t>五、汽车生产企业</w:t>
            </w:r>
          </w:p>
        </w:tc>
        <w:tc>
          <w:tcPr>
            <w:tcW w:w="985" w:type="dxa"/>
            <w:tcBorders>
              <w:top w:val="nil"/>
              <w:lef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1、乘用车</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2、载货汽车</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3、客车</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4、其他汽车</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2095"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shd w:val="clear" w:color="auto" w:fill="auto"/>
            <w:vAlign w:val="center"/>
          </w:tcPr>
          <w:p>
            <w:pPr>
              <w:jc w:val="left"/>
              <w:rPr>
                <w:rFonts w:ascii="宋体" w:hAnsi="宋体" w:cs="宋体"/>
                <w:bCs/>
                <w:color w:val="000000"/>
                <w:kern w:val="0"/>
                <w:sz w:val="18"/>
                <w:szCs w:val="18"/>
              </w:rPr>
            </w:pPr>
          </w:p>
        </w:tc>
        <w:tc>
          <w:tcPr>
            <w:tcW w:w="989"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29"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606"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2095" w:type="dxa"/>
            <w:tcBorders>
              <w:top w:val="nil"/>
              <w:left w:val="nil"/>
              <w:bottom w:val="single" w:color="auto" w:sz="8" w:space="0"/>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single" w:color="auto" w:sz="8"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single" w:color="auto" w:sz="8" w:space="0"/>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bl>
    <w:p>
      <w:pPr>
        <w:rPr>
          <w:rFonts w:ascii="宋体" w:hAnsi="宋体"/>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ascii="宋体" w:hAnsi="宋体"/>
          <w:sz w:val="18"/>
          <w:szCs w:val="18"/>
        </w:rPr>
      </w:pPr>
    </w:p>
    <w:p>
      <w:pPr>
        <w:rPr>
          <w:rFonts w:ascii="宋体" w:hAnsi="宋体"/>
          <w:sz w:val="18"/>
          <w:szCs w:val="18"/>
        </w:rPr>
      </w:pPr>
      <w:r>
        <w:rPr>
          <w:rFonts w:hint="eastAsia" w:ascii="宋体" w:hAnsi="宋体"/>
          <w:sz w:val="18"/>
          <w:szCs w:val="18"/>
        </w:rPr>
        <w:t>说明：1.本表综合反映报告期境内投资者涉及调查表内容的国际产能合作领域境外企业基本情况。凡属于中方持股比例在10%及以上的在建和已投产的表中所列项目（含并购项目）均属统计范围，企业承揽的不具有投资性质的承包工程项目不在此范畴。</w:t>
      </w:r>
    </w:p>
    <w:p>
      <w:pPr>
        <w:ind w:firstLine="547" w:firstLineChars="304"/>
        <w:rPr>
          <w:rFonts w:ascii="宋体" w:hAnsi="宋体"/>
          <w:sz w:val="18"/>
          <w:szCs w:val="18"/>
        </w:rPr>
      </w:pPr>
      <w:r>
        <w:rPr>
          <w:rFonts w:hint="eastAsia" w:ascii="宋体" w:hAnsi="宋体"/>
          <w:sz w:val="18"/>
          <w:szCs w:val="18"/>
        </w:rPr>
        <w:t>2.本表由涉及上述业务的境内投资者于年后6月20日前报省级商务主管部门或商务部。</w:t>
      </w:r>
    </w:p>
    <w:p>
      <w:pPr>
        <w:ind w:firstLine="547" w:firstLineChars="304"/>
        <w:rPr>
          <w:rFonts w:ascii="宋体" w:hAnsi="宋体"/>
          <w:sz w:val="18"/>
          <w:szCs w:val="18"/>
        </w:rPr>
      </w:pPr>
      <w:r>
        <w:rPr>
          <w:rFonts w:hint="eastAsia" w:ascii="宋体" w:hAnsi="宋体" w:cs="宋体"/>
          <w:color w:val="000000"/>
          <w:kern w:val="0"/>
          <w:sz w:val="18"/>
          <w:szCs w:val="18"/>
        </w:rPr>
        <w:t>3.截至报告期累计各类投资额：</w:t>
      </w:r>
      <w:r>
        <w:rPr>
          <w:rFonts w:hint="eastAsia" w:ascii="宋体" w:hAnsi="宋体"/>
          <w:sz w:val="18"/>
        </w:rPr>
        <w:t>指截至报告期末境内投资者（或其境外企业）对该境外企业或项目实现的投资总额。包括境内投资者（或境外企业）通过各种渠道（包括自有资金、境内外银行贷款等）投入的资金总和。</w:t>
      </w:r>
    </w:p>
    <w:p>
      <w:pPr>
        <w:ind w:firstLine="547" w:firstLineChars="304"/>
        <w:rPr>
          <w:rFonts w:ascii="宋体" w:hAnsi="宋体"/>
          <w:sz w:val="18"/>
          <w:szCs w:val="18"/>
        </w:rPr>
      </w:pPr>
      <w:r>
        <w:rPr>
          <w:rFonts w:hint="eastAsia" w:ascii="宋体" w:hAnsi="宋体"/>
          <w:sz w:val="18"/>
          <w:szCs w:val="18"/>
        </w:rPr>
        <w:t>4.设计生产能力：</w:t>
      </w:r>
      <w:r>
        <w:rPr>
          <w:rFonts w:ascii="宋体" w:hAnsi="宋体"/>
          <w:sz w:val="18"/>
          <w:szCs w:val="18"/>
        </w:rPr>
        <w:t>指新建或改建企业在设计任务书和技术文件中规定的正常条件下达到的生产能力</w:t>
      </w:r>
      <w:r>
        <w:rPr>
          <w:rFonts w:hint="eastAsia" w:ascii="宋体" w:hAnsi="宋体"/>
          <w:sz w:val="18"/>
          <w:szCs w:val="18"/>
        </w:rPr>
        <w:t>。</w:t>
      </w:r>
    </w:p>
    <w:p>
      <w:pPr>
        <w:ind w:firstLine="547" w:firstLineChars="304"/>
        <w:rPr>
          <w:rFonts w:ascii="黑体" w:eastAsia="黑体"/>
          <w:color w:val="FF0000"/>
          <w:spacing w:val="8"/>
        </w:rPr>
      </w:pPr>
      <w:r>
        <w:rPr>
          <w:rFonts w:hint="eastAsia" w:ascii="宋体" w:hAnsi="宋体"/>
          <w:sz w:val="18"/>
          <w:szCs w:val="18"/>
        </w:rPr>
        <w:t>设计生产能力/年的计算标准：</w:t>
      </w:r>
    </w:p>
    <w:p>
      <w:pPr>
        <w:ind w:firstLine="547" w:firstLineChars="304"/>
        <w:rPr>
          <w:rFonts w:ascii="宋体" w:hAnsi="宋体"/>
          <w:sz w:val="18"/>
          <w:szCs w:val="18"/>
        </w:rPr>
      </w:pPr>
      <w:r>
        <w:rPr>
          <w:rFonts w:hint="eastAsia" w:ascii="宋体" w:hAnsi="宋体"/>
          <w:sz w:val="18"/>
          <w:szCs w:val="18"/>
        </w:rPr>
        <w:t>（1）境外钢铁企业按年度钢铁厂钢材产量计算，单位：万吨；</w:t>
      </w:r>
    </w:p>
    <w:p>
      <w:pPr>
        <w:ind w:firstLine="547" w:firstLineChars="304"/>
        <w:rPr>
          <w:rFonts w:ascii="宋体" w:hAnsi="宋体"/>
          <w:sz w:val="18"/>
          <w:szCs w:val="18"/>
        </w:rPr>
      </w:pPr>
      <w:r>
        <w:rPr>
          <w:rFonts w:hint="eastAsia" w:ascii="宋体" w:hAnsi="宋体"/>
          <w:sz w:val="18"/>
          <w:szCs w:val="18"/>
        </w:rPr>
        <w:t>（2）水泥企业按年度各种水泥的累计产量计算，单位：万吨；</w:t>
      </w:r>
    </w:p>
    <w:p>
      <w:pPr>
        <w:ind w:firstLine="547" w:firstLineChars="304"/>
        <w:rPr>
          <w:rFonts w:ascii="宋体" w:hAnsi="宋体"/>
          <w:sz w:val="18"/>
          <w:szCs w:val="18"/>
        </w:rPr>
      </w:pPr>
      <w:r>
        <w:rPr>
          <w:rFonts w:hint="eastAsia" w:ascii="宋体" w:hAnsi="宋体"/>
          <w:sz w:val="18"/>
          <w:szCs w:val="18"/>
        </w:rPr>
        <w:t>（3）平板玻璃生产企业按各种玻璃的产量计算，单位：万重量箱；</w:t>
      </w:r>
    </w:p>
    <w:p>
      <w:pPr>
        <w:ind w:firstLine="547" w:firstLineChars="304"/>
        <w:rPr>
          <w:rFonts w:ascii="宋体" w:hAnsi="宋体"/>
          <w:sz w:val="18"/>
          <w:szCs w:val="18"/>
        </w:rPr>
      </w:pPr>
      <w:r>
        <w:rPr>
          <w:rFonts w:hint="eastAsia" w:ascii="宋体" w:hAnsi="宋体"/>
          <w:sz w:val="18"/>
          <w:szCs w:val="18"/>
        </w:rPr>
        <w:t>（4）电力生产企业按发电装机容量计算，单位：万千瓦；</w:t>
      </w:r>
    </w:p>
    <w:p>
      <w:pPr>
        <w:ind w:firstLine="547" w:firstLineChars="304"/>
        <w:rPr>
          <w:rFonts w:ascii="宋体" w:hAnsi="宋体"/>
          <w:sz w:val="18"/>
          <w:szCs w:val="18"/>
        </w:rPr>
      </w:pPr>
      <w:r>
        <w:rPr>
          <w:rFonts w:hint="eastAsia" w:ascii="宋体" w:hAnsi="宋体"/>
          <w:sz w:val="18"/>
          <w:szCs w:val="18"/>
        </w:rPr>
        <w:t>（5）汽车生产企业分别按乘用车（包括轿车、MPV、SUV、交叉型乘用车）、载货汽车（包括重型、中型、轻型、微型载货车）、客车（包括大、中、轻型客车）和其他汽车（半挂牵引车等）年度生产数量计算，单位：辆。</w:t>
      </w:r>
    </w:p>
    <w:p>
      <w:pPr>
        <w:ind w:firstLine="547" w:firstLineChars="304"/>
        <w:rPr>
          <w:rFonts w:ascii="宋体" w:hAnsi="宋体"/>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对外直接投资月度情况</w:t>
      </w:r>
    </w:p>
    <w:p>
      <w:pPr>
        <w:jc w:val="center"/>
        <w:rPr>
          <w:rFonts w:ascii="宋体" w:hAnsi="宋体"/>
          <w:b/>
          <w:bCs/>
          <w:sz w:val="32"/>
          <w:szCs w:val="32"/>
        </w:rPr>
      </w:pPr>
      <w:r>
        <w:rPr>
          <w:rFonts w:hint="eastAsia" w:ascii="宋体" w:hAnsi="宋体"/>
          <w:b/>
          <w:bCs/>
          <w:sz w:val="32"/>
          <w:szCs w:val="32"/>
        </w:rPr>
        <w:t>(按出资方式分组)</w:t>
      </w:r>
    </w:p>
    <w:tbl>
      <w:tblPr>
        <w:tblStyle w:val="11"/>
        <w:tblW w:w="9527" w:type="dxa"/>
        <w:tblInd w:w="108" w:type="dxa"/>
        <w:tblLayout w:type="fixed"/>
        <w:tblCellMar>
          <w:top w:w="0" w:type="dxa"/>
          <w:left w:w="108" w:type="dxa"/>
          <w:bottom w:w="0" w:type="dxa"/>
          <w:right w:w="108" w:type="dxa"/>
        </w:tblCellMar>
      </w:tblPr>
      <w:tblGrid>
        <w:gridCol w:w="1798"/>
        <w:gridCol w:w="1079"/>
        <w:gridCol w:w="899"/>
        <w:gridCol w:w="899"/>
        <w:gridCol w:w="547"/>
        <w:gridCol w:w="720"/>
        <w:gridCol w:w="421"/>
        <w:gridCol w:w="299"/>
        <w:gridCol w:w="720"/>
        <w:gridCol w:w="720"/>
        <w:gridCol w:w="720"/>
        <w:gridCol w:w="705"/>
      </w:tblGrid>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FDIY1表</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363"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5"/>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98"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p>
          <w:p>
            <w:pPr>
              <w:ind w:firstLine="180"/>
              <w:rPr>
                <w:rFonts w:ascii="宋体" w:hAnsi="宋体"/>
                <w:sz w:val="18"/>
              </w:rPr>
            </w:pPr>
            <w:r>
              <w:rPr>
                <w:rFonts w:hint="eastAsia" w:ascii="宋体" w:hAnsi="宋体"/>
                <w:sz w:val="18"/>
              </w:rPr>
              <w:t>企业名称</w:t>
            </w:r>
          </w:p>
        </w:tc>
        <w:tc>
          <w:tcPr>
            <w:tcW w:w="1079"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境外企业所在国家(地区)及城市</w:t>
            </w:r>
          </w:p>
        </w:tc>
        <w:tc>
          <w:tcPr>
            <w:tcW w:w="899"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境外企业行业类 别</w:t>
            </w:r>
          </w:p>
        </w:tc>
        <w:tc>
          <w:tcPr>
            <w:tcW w:w="899"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4852" w:type="dxa"/>
            <w:gridSpan w:val="8"/>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79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0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547"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w:t>
            </w:r>
          </w:p>
          <w:p>
            <w:pPr>
              <w:jc w:val="center"/>
              <w:rPr>
                <w:rFonts w:ascii="宋体" w:hAnsi="宋体"/>
                <w:sz w:val="18"/>
              </w:rPr>
            </w:pPr>
            <w:r>
              <w:rPr>
                <w:rFonts w:hint="eastAsia" w:ascii="宋体" w:hAnsi="宋体"/>
                <w:sz w:val="18"/>
              </w:rPr>
              <w:t>计</w:t>
            </w:r>
          </w:p>
        </w:tc>
        <w:tc>
          <w:tcPr>
            <w:tcW w:w="2880" w:type="dxa"/>
            <w:gridSpan w:val="5"/>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货币投资</w:t>
            </w:r>
          </w:p>
        </w:tc>
        <w:tc>
          <w:tcPr>
            <w:tcW w:w="720"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实物</w:t>
            </w:r>
          </w:p>
          <w:p>
            <w:pPr>
              <w:jc w:val="center"/>
              <w:rPr>
                <w:rFonts w:ascii="宋体" w:hAnsi="宋体"/>
                <w:sz w:val="18"/>
              </w:rPr>
            </w:pPr>
            <w:r>
              <w:rPr>
                <w:rFonts w:hint="eastAsia" w:ascii="宋体" w:hAnsi="宋体"/>
                <w:sz w:val="18"/>
              </w:rPr>
              <w:t>投资</w:t>
            </w:r>
          </w:p>
        </w:tc>
        <w:tc>
          <w:tcPr>
            <w:tcW w:w="705"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无形资产投资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1798" w:type="dxa"/>
            <w:vMerge w:val="continue"/>
            <w:tcBorders>
              <w:top w:val="nil"/>
              <w:left w:val="nil"/>
              <w:bottom w:val="single" w:color="auto" w:sz="2" w:space="0"/>
              <w:right w:val="single" w:color="auto" w:sz="2" w:space="0"/>
            </w:tcBorders>
            <w:vAlign w:val="center"/>
          </w:tcPr>
          <w:p>
            <w:pPr>
              <w:widowControl/>
              <w:jc w:val="left"/>
              <w:rPr>
                <w:rFonts w:ascii="宋体" w:hAnsi="宋体"/>
                <w:sz w:val="18"/>
              </w:rPr>
            </w:pPr>
          </w:p>
        </w:tc>
        <w:tc>
          <w:tcPr>
            <w:tcW w:w="1079" w:type="dxa"/>
            <w:vMerge w:val="continue"/>
            <w:tcBorders>
              <w:top w:val="nil"/>
              <w:left w:val="single" w:color="auto" w:sz="2" w:space="0"/>
              <w:bottom w:val="single" w:color="auto" w:sz="2" w:space="0"/>
              <w:right w:val="single" w:color="auto" w:sz="4" w:space="0"/>
            </w:tcBorders>
            <w:vAlign w:val="center"/>
          </w:tcPr>
          <w:p>
            <w:pPr>
              <w:widowControl/>
              <w:jc w:val="left"/>
              <w:rPr>
                <w:rFonts w:ascii="宋体" w:hAnsi="宋体"/>
                <w:sz w:val="18"/>
              </w:rPr>
            </w:pPr>
          </w:p>
        </w:tc>
        <w:tc>
          <w:tcPr>
            <w:tcW w:w="899" w:type="dxa"/>
            <w:vMerge w:val="continue"/>
            <w:tcBorders>
              <w:top w:val="nil"/>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899" w:type="dxa"/>
            <w:vMerge w:val="continue"/>
            <w:tcBorders>
              <w:top w:val="nil"/>
              <w:left w:val="single" w:color="auto" w:sz="4" w:space="0"/>
              <w:bottom w:val="single" w:color="auto" w:sz="2" w:space="0"/>
              <w:right w:val="nil"/>
            </w:tcBorders>
            <w:vAlign w:val="center"/>
          </w:tcPr>
          <w:p>
            <w:pPr>
              <w:widowControl/>
              <w:jc w:val="left"/>
              <w:rPr>
                <w:rFonts w:ascii="宋体" w:hAnsi="宋体"/>
                <w:sz w:val="18"/>
              </w:rPr>
            </w:pPr>
          </w:p>
        </w:tc>
        <w:tc>
          <w:tcPr>
            <w:tcW w:w="547" w:type="dxa"/>
            <w:vMerge w:val="continue"/>
            <w:tcBorders>
              <w:top w:val="nil"/>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20" w:type="dxa"/>
            <w:tcBorders>
              <w:top w:val="nil"/>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金额</w:t>
            </w:r>
          </w:p>
        </w:tc>
        <w:tc>
          <w:tcPr>
            <w:tcW w:w="720" w:type="dxa"/>
            <w:gridSpan w:val="2"/>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自有资金</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银行</w:t>
            </w:r>
          </w:p>
          <w:p>
            <w:pPr>
              <w:jc w:val="center"/>
              <w:rPr>
                <w:rFonts w:ascii="宋体" w:hAnsi="宋体"/>
                <w:sz w:val="18"/>
              </w:rPr>
            </w:pPr>
            <w:r>
              <w:rPr>
                <w:rFonts w:hint="eastAsia" w:ascii="宋体" w:hAnsi="宋体"/>
                <w:sz w:val="18"/>
              </w:rPr>
              <w:t>贷款</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其他</w:t>
            </w:r>
          </w:p>
        </w:tc>
        <w:tc>
          <w:tcPr>
            <w:tcW w:w="720"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05" w:type="dxa"/>
            <w:vMerge w:val="continue"/>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9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07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5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2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0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1798" w:type="dxa"/>
            <w:tcBorders>
              <w:top w:val="single" w:color="auto" w:sz="2" w:space="0"/>
              <w:left w:val="nil"/>
              <w:bottom w:val="single" w:color="auto" w:sz="8" w:space="0"/>
              <w:right w:val="single" w:color="auto" w:sz="2" w:space="0"/>
            </w:tcBorders>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A1.境内投资者对境外企业直接投资</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A2.境内投资者对境外成员企业的直接投资</w:t>
            </w:r>
          </w:p>
          <w:p>
            <w:pPr>
              <w:rPr>
                <w:rFonts w:ascii="宋体" w:hAnsi="宋体"/>
                <w:sz w:val="18"/>
              </w:rPr>
            </w:pPr>
            <w:r>
              <w:rPr>
                <w:rFonts w:hint="eastAsia" w:ascii="宋体" w:hAnsi="宋体"/>
                <w:sz w:val="18"/>
              </w:rPr>
              <w:t>**境外成员企业</w:t>
            </w:r>
          </w:p>
          <w:p>
            <w:pPr>
              <w:rPr>
                <w:rFonts w:ascii="宋体" w:hAnsi="宋体"/>
                <w:sz w:val="18"/>
              </w:rPr>
            </w:pPr>
          </w:p>
        </w:tc>
        <w:tc>
          <w:tcPr>
            <w:tcW w:w="7729" w:type="dxa"/>
            <w:gridSpan w:val="11"/>
            <w:tcBorders>
              <w:top w:val="single" w:color="auto" w:sz="2" w:space="0"/>
              <w:left w:val="single" w:color="auto" w:sz="2" w:space="0"/>
              <w:bottom w:val="single" w:color="auto" w:sz="8" w:space="0"/>
              <w:right w:val="nil"/>
            </w:tcBorders>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说明：1.本表综合反映报告期境内投资者实际对外直接投资（包括金融类）的基本构成情况。</w:t>
      </w:r>
    </w:p>
    <w:p>
      <w:pPr>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540"/>
        <w:rPr>
          <w:rFonts w:ascii="宋体" w:hAnsi="宋体"/>
          <w:sz w:val="18"/>
        </w:rPr>
      </w:pPr>
      <w:r>
        <w:rPr>
          <w:rFonts w:hint="eastAsia" w:ascii="宋体" w:hAnsi="宋体"/>
          <w:sz w:val="18"/>
        </w:rPr>
        <w:t xml:space="preserve">3.境外企业所在国家(地区)及城市：指境外企业注册登记所在的国家和城市。 </w:t>
      </w:r>
    </w:p>
    <w:p>
      <w:pPr>
        <w:pStyle w:val="3"/>
        <w:ind w:firstLine="540"/>
        <w:rPr>
          <w:rFonts w:hAnsi="宋体"/>
          <w:sz w:val="18"/>
        </w:rPr>
      </w:pPr>
      <w:r>
        <w:rPr>
          <w:rFonts w:hint="eastAsia" w:hAnsi="宋体"/>
          <w:sz w:val="18"/>
        </w:rPr>
        <w:t>4.境外企业行业类别代码(见附录一)。</w:t>
      </w:r>
    </w:p>
    <w:p>
      <w:pPr>
        <w:pStyle w:val="3"/>
        <w:ind w:firstLine="540"/>
        <w:rPr>
          <w:rFonts w:hAnsi="宋体"/>
          <w:sz w:val="18"/>
        </w:rPr>
      </w:pPr>
      <w:r>
        <w:rPr>
          <w:rFonts w:hint="eastAsia" w:hAnsi="宋体"/>
          <w:sz w:val="18"/>
        </w:rPr>
        <w:t>5.实现直接投资的方式：指境内投资者设立境外企业的方式，包括新设、并购、增资、财务重组。新设指通过新设境外企业而实现的投资；并购指对已存在企业的购买或销售；增资指对一个已建立企业扩张的新增投资；财务重组</w:t>
      </w:r>
      <w:r>
        <w:rPr>
          <w:rFonts w:hint="eastAsia"/>
          <w:color w:val="000000"/>
          <w:sz w:val="18"/>
          <w:szCs w:val="18"/>
        </w:rPr>
        <w:t>指对陷入</w:t>
      </w:r>
      <w:r>
        <w:fldChar w:fldCharType="begin"/>
      </w:r>
      <w:r>
        <w:instrText xml:space="preserve"> HYPERLINK "http://baike.baidu.com/view/548340.htm" \t "_blank" </w:instrText>
      </w:r>
      <w:r>
        <w:fldChar w:fldCharType="separate"/>
      </w:r>
      <w:r>
        <w:rPr>
          <w:rStyle w:val="10"/>
          <w:rFonts w:hint="eastAsia"/>
          <w:color w:val="000000"/>
          <w:sz w:val="18"/>
          <w:szCs w:val="18"/>
          <w:u w:val="none"/>
        </w:rPr>
        <w:t>财务危机</w:t>
      </w:r>
      <w:r>
        <w:rPr>
          <w:rStyle w:val="10"/>
          <w:rFonts w:hint="eastAsia"/>
          <w:color w:val="000000"/>
          <w:sz w:val="18"/>
          <w:szCs w:val="18"/>
          <w:u w:val="none"/>
        </w:rPr>
        <w:fldChar w:fldCharType="end"/>
      </w:r>
      <w:r>
        <w:rPr>
          <w:rFonts w:hint="eastAsia"/>
          <w:color w:val="000000"/>
          <w:sz w:val="18"/>
          <w:szCs w:val="18"/>
        </w:rPr>
        <w:t>、但仍有转机和重建</w:t>
      </w:r>
      <w:r>
        <w:fldChar w:fldCharType="begin"/>
      </w:r>
      <w:r>
        <w:instrText xml:space="preserve"> HYPERLINK "http://baike.baidu.com/view/208414.htm" \t "_blank" </w:instrText>
      </w:r>
      <w:r>
        <w:fldChar w:fldCharType="separate"/>
      </w:r>
      <w:r>
        <w:rPr>
          <w:rStyle w:val="10"/>
          <w:rFonts w:hint="eastAsia"/>
          <w:color w:val="000000"/>
          <w:sz w:val="18"/>
          <w:szCs w:val="18"/>
          <w:u w:val="none"/>
        </w:rPr>
        <w:t>价值</w:t>
      </w:r>
      <w:r>
        <w:rPr>
          <w:rStyle w:val="10"/>
          <w:rFonts w:hint="eastAsia"/>
          <w:color w:val="000000"/>
          <w:sz w:val="18"/>
          <w:szCs w:val="18"/>
          <w:u w:val="none"/>
        </w:rPr>
        <w:fldChar w:fldCharType="end"/>
      </w:r>
      <w:r>
        <w:rPr>
          <w:rFonts w:hint="eastAsia"/>
          <w:color w:val="000000"/>
          <w:sz w:val="18"/>
          <w:szCs w:val="18"/>
        </w:rPr>
        <w:t>的</w:t>
      </w:r>
      <w:r>
        <w:fldChar w:fldCharType="begin"/>
      </w:r>
      <w:r>
        <w:instrText xml:space="preserve"> HYPERLINK "http://baike.baidu.com/view/38340.htm" \t "_blank" </w:instrText>
      </w:r>
      <w:r>
        <w:fldChar w:fldCharType="separate"/>
      </w:r>
      <w:r>
        <w:rPr>
          <w:rStyle w:val="10"/>
          <w:rFonts w:hint="eastAsia"/>
          <w:color w:val="000000"/>
          <w:sz w:val="18"/>
          <w:szCs w:val="18"/>
          <w:u w:val="none"/>
        </w:rPr>
        <w:t>企业</w:t>
      </w:r>
      <w:r>
        <w:rPr>
          <w:rStyle w:val="10"/>
          <w:rFonts w:hint="eastAsia"/>
          <w:color w:val="000000"/>
          <w:sz w:val="18"/>
          <w:szCs w:val="18"/>
          <w:u w:val="none"/>
        </w:rPr>
        <w:fldChar w:fldCharType="end"/>
      </w:r>
      <w:r>
        <w:rPr>
          <w:rFonts w:hint="eastAsia"/>
          <w:color w:val="000000"/>
          <w:sz w:val="18"/>
          <w:szCs w:val="18"/>
        </w:rPr>
        <w:t>，根据一定程序进行重新整顿，使</w:t>
      </w:r>
      <w:r>
        <w:fldChar w:fldCharType="begin"/>
      </w:r>
      <w:r>
        <w:instrText xml:space="preserve"> HYPERLINK "http://baike.baidu.com/view/9988.htm" \t "_blank" </w:instrText>
      </w:r>
      <w:r>
        <w:fldChar w:fldCharType="separate"/>
      </w:r>
      <w:r>
        <w:rPr>
          <w:rStyle w:val="10"/>
          <w:rFonts w:hint="eastAsia"/>
          <w:color w:val="000000"/>
          <w:sz w:val="18"/>
          <w:szCs w:val="18"/>
          <w:u w:val="none"/>
        </w:rPr>
        <w:t>公司</w:t>
      </w:r>
      <w:r>
        <w:rPr>
          <w:rStyle w:val="10"/>
          <w:rFonts w:hint="eastAsia"/>
          <w:color w:val="000000"/>
          <w:sz w:val="18"/>
          <w:szCs w:val="18"/>
          <w:u w:val="none"/>
        </w:rPr>
        <w:fldChar w:fldCharType="end"/>
      </w:r>
      <w:r>
        <w:rPr>
          <w:rFonts w:hint="eastAsia"/>
          <w:color w:val="000000"/>
          <w:sz w:val="18"/>
          <w:szCs w:val="18"/>
        </w:rPr>
        <w:t>得以复苏和维持，包括境内投资者对境外企业债务的偿还以及为减少企业损失而发生的投资。</w:t>
      </w:r>
      <w:r>
        <w:rPr>
          <w:rFonts w:hint="eastAsia" w:hAnsi="宋体"/>
          <w:sz w:val="18"/>
        </w:rPr>
        <w:t xml:space="preserve"> 境内投资者间境外企业股权等价交换（股权置换）视同财务重组。</w:t>
      </w:r>
    </w:p>
    <w:p>
      <w:pPr>
        <w:pStyle w:val="3"/>
        <w:ind w:firstLine="540"/>
        <w:rPr>
          <w:rFonts w:hAnsi="宋体"/>
          <w:sz w:val="18"/>
        </w:rPr>
      </w:pPr>
      <w:r>
        <w:rPr>
          <w:rFonts w:hint="eastAsia" w:hAnsi="宋体"/>
          <w:sz w:val="18"/>
        </w:rPr>
        <w:t>6. 1栏=2栏+6栏+7栏   2栏=3栏+4栏+5栏</w:t>
      </w:r>
    </w:p>
    <w:p>
      <w:pPr>
        <w:ind w:firstLine="529" w:firstLineChars="294"/>
        <w:rPr>
          <w:rFonts w:ascii="宋体" w:hAnsi="宋体"/>
          <w:sz w:val="18"/>
        </w:rPr>
      </w:pPr>
      <w:r>
        <w:rPr>
          <w:rFonts w:hint="eastAsia" w:ascii="宋体" w:hAnsi="宋体"/>
          <w:sz w:val="18"/>
        </w:rPr>
        <w:t>7.货币投资：是指以货币资本形式表现的投资。自有资金</w:t>
      </w:r>
      <w:r>
        <w:rPr>
          <w:rFonts w:hint="eastAsia" w:ascii="宋体" w:hAnsi="宋体"/>
          <w:spacing w:val="8"/>
          <w:sz w:val="18"/>
          <w:szCs w:val="18"/>
        </w:rPr>
        <w:t>是指境内投资者为进行生产经营活动所经常持有，可以自行支配使用并毋须偿还的那部分资金。银行贷款指境内投资者为对外直接投资而从境内银行性金融机构取得贷款。其他指在货币投资中扣除自有资金和银行贷款以外的资金。</w:t>
      </w:r>
    </w:p>
    <w:p>
      <w:pPr>
        <w:ind w:firstLine="540" w:firstLineChars="300"/>
        <w:rPr>
          <w:rFonts w:ascii="宋体" w:hAnsi="宋体"/>
          <w:sz w:val="18"/>
        </w:rPr>
      </w:pPr>
      <w:r>
        <w:rPr>
          <w:rFonts w:hint="eastAsia" w:ascii="宋体" w:hAnsi="宋体"/>
          <w:sz w:val="18"/>
        </w:rPr>
        <w:t>8.实物投资：是指设备、建筑物、原材料等有形资产形式的投资。</w:t>
      </w:r>
    </w:p>
    <w:p>
      <w:pPr>
        <w:pStyle w:val="16"/>
        <w:ind w:firstLine="540" w:firstLineChars="300"/>
        <w:rPr>
          <w:rFonts w:ascii="黑体" w:hAnsi="宋体" w:eastAsia="黑体"/>
          <w:b w:val="0"/>
          <w:sz w:val="18"/>
        </w:rPr>
      </w:pPr>
      <w:r>
        <w:rPr>
          <w:rFonts w:hint="eastAsia" w:ascii="宋体" w:hAnsi="宋体" w:eastAsia="宋体"/>
          <w:b w:val="0"/>
          <w:sz w:val="18"/>
        </w:rPr>
        <w:t>9.无形资产投资：是依据法律取得的</w:t>
      </w:r>
      <w:r>
        <w:rPr>
          <w:rFonts w:hint="eastAsia" w:ascii="宋体" w:hAnsi="宋体" w:eastAsia="宋体"/>
          <w:b w:val="0"/>
          <w:color w:val="000000"/>
          <w:sz w:val="18"/>
          <w:szCs w:val="18"/>
        </w:rPr>
        <w:t>专利权、非专利技术、商标权、著作权、特许权、土地使用权</w:t>
      </w:r>
      <w:r>
        <w:rPr>
          <w:rFonts w:hint="eastAsia" w:ascii="宋体" w:hAnsi="宋体" w:eastAsia="宋体"/>
          <w:b w:val="0"/>
          <w:sz w:val="18"/>
        </w:rPr>
        <w:t>等</w:t>
      </w:r>
      <w:r>
        <w:rPr>
          <w:rFonts w:hint="eastAsia" w:ascii="黑体" w:hAnsi="宋体" w:eastAsia="黑体"/>
          <w:b w:val="0"/>
          <w:sz w:val="18"/>
        </w:rPr>
        <w:t>。</w:t>
      </w:r>
    </w:p>
    <w:p>
      <w:pPr>
        <w:pStyle w:val="16"/>
        <w:ind w:firstLine="540" w:firstLineChars="300"/>
        <w:rPr>
          <w:rFonts w:ascii="黑体" w:hAnsi="宋体" w:eastAsia="黑体"/>
          <w:b w:val="0"/>
          <w:bCs/>
          <w:sz w:val="18"/>
        </w:rPr>
      </w:pPr>
    </w:p>
    <w:p>
      <w:pPr>
        <w:jc w:val="center"/>
        <w:rPr>
          <w:rFonts w:ascii="宋体" w:hAnsi="宋体"/>
          <w:b/>
          <w:bCs/>
          <w:sz w:val="32"/>
          <w:szCs w:val="32"/>
        </w:rPr>
      </w:pPr>
      <w:r>
        <w:rPr>
          <w:rFonts w:hint="eastAsia" w:ascii="宋体" w:hAnsi="宋体"/>
          <w:b/>
          <w:bCs/>
          <w:sz w:val="32"/>
          <w:szCs w:val="32"/>
        </w:rPr>
        <w:t>对外直接投资月度情况</w:t>
      </w:r>
    </w:p>
    <w:p>
      <w:pPr>
        <w:rPr>
          <w:rFonts w:ascii="宋体" w:hAnsi="宋体"/>
          <w:b/>
          <w:bCs/>
          <w:sz w:val="32"/>
          <w:szCs w:val="32"/>
        </w:rPr>
      </w:pPr>
      <w:r>
        <w:rPr>
          <w:rFonts w:hint="eastAsia" w:ascii="宋体" w:hAnsi="宋体"/>
          <w:b/>
          <w:bCs/>
          <w:sz w:val="32"/>
          <w:szCs w:val="32"/>
        </w:rPr>
        <w:t xml:space="preserve">                      （按投资构成分组）</w:t>
      </w:r>
    </w:p>
    <w:tbl>
      <w:tblPr>
        <w:tblStyle w:val="11"/>
        <w:tblW w:w="9467" w:type="dxa"/>
        <w:tblInd w:w="108" w:type="dxa"/>
        <w:tblLayout w:type="fixed"/>
        <w:tblCellMar>
          <w:top w:w="0" w:type="dxa"/>
          <w:left w:w="108" w:type="dxa"/>
          <w:bottom w:w="0" w:type="dxa"/>
          <w:right w:w="108" w:type="dxa"/>
        </w:tblCellMar>
      </w:tblPr>
      <w:tblGrid>
        <w:gridCol w:w="1800"/>
        <w:gridCol w:w="1316"/>
        <w:gridCol w:w="1440"/>
        <w:gridCol w:w="1204"/>
        <w:gridCol w:w="347"/>
        <w:gridCol w:w="845"/>
        <w:gridCol w:w="1150"/>
        <w:gridCol w:w="1365"/>
      </w:tblGrid>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FDIY2表</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eastAsia="宋体"/>
                <w:sz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107" w:type="dxa"/>
            <w:gridSpan w:val="5"/>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360"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00"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r>
              <w:rPr>
                <w:rFonts w:hint="eastAsia" w:ascii="宋体" w:hAnsi="宋体"/>
                <w:sz w:val="18"/>
              </w:rPr>
              <w:t>企业名称</w:t>
            </w:r>
          </w:p>
        </w:tc>
        <w:tc>
          <w:tcPr>
            <w:tcW w:w="1316"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境外企业所在国家(地区)及城市</w:t>
            </w:r>
          </w:p>
        </w:tc>
        <w:tc>
          <w:tcPr>
            <w:tcW w:w="1440"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境外企业行业类 别</w:t>
            </w:r>
          </w:p>
        </w:tc>
        <w:tc>
          <w:tcPr>
            <w:tcW w:w="1204"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3707" w:type="dxa"/>
            <w:gridSpan w:val="4"/>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1800"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44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合计</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新增股权</w:t>
            </w:r>
          </w:p>
        </w:tc>
        <w:tc>
          <w:tcPr>
            <w:tcW w:w="136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新增债务工具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0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3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14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20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36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1800" w:type="dxa"/>
            <w:tcBorders>
              <w:top w:val="single" w:color="auto" w:sz="2" w:space="0"/>
              <w:left w:val="nil"/>
              <w:bottom w:val="single" w:color="auto" w:sz="8" w:space="0"/>
              <w:right w:val="single" w:color="auto" w:sz="2" w:space="0"/>
            </w:tcBorders>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A1.境内投资者对境外企业直接投资</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A2.境内投资者对境外成员企业的直接投资</w:t>
            </w:r>
          </w:p>
          <w:p>
            <w:pPr>
              <w:rPr>
                <w:rFonts w:ascii="宋体" w:hAnsi="宋体"/>
                <w:sz w:val="18"/>
              </w:rPr>
            </w:pPr>
            <w:r>
              <w:rPr>
                <w:rFonts w:hint="eastAsia" w:ascii="宋体" w:hAnsi="宋体"/>
                <w:sz w:val="18"/>
              </w:rPr>
              <w:t>**境外成员企业</w:t>
            </w:r>
          </w:p>
          <w:p>
            <w:pPr>
              <w:rPr>
                <w:rFonts w:ascii="宋体" w:hAnsi="宋体"/>
                <w:sz w:val="18"/>
              </w:rPr>
            </w:pPr>
          </w:p>
        </w:tc>
        <w:tc>
          <w:tcPr>
            <w:tcW w:w="7667" w:type="dxa"/>
            <w:gridSpan w:val="7"/>
            <w:tcBorders>
              <w:top w:val="single" w:color="auto" w:sz="2" w:space="0"/>
              <w:left w:val="single" w:color="auto" w:sz="2" w:space="0"/>
              <w:bottom w:val="single" w:color="auto" w:sz="8" w:space="0"/>
              <w:right w:val="nil"/>
            </w:tcBorders>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说明：1.本表综合反映报告期境内投资者对外直接投资（包括金融类）的新增股权和债权情况。</w:t>
      </w:r>
    </w:p>
    <w:p>
      <w:pPr>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540"/>
        <w:rPr>
          <w:rFonts w:ascii="宋体" w:hAnsi="宋体"/>
          <w:sz w:val="18"/>
        </w:rPr>
      </w:pPr>
      <w:r>
        <w:rPr>
          <w:rFonts w:hint="eastAsia" w:ascii="宋体" w:hAnsi="宋体"/>
          <w:sz w:val="18"/>
        </w:rPr>
        <w:t xml:space="preserve">3.境外企业所在国家(地区)及城市：指境外企业注册登记所在的国家和城市。 </w:t>
      </w:r>
    </w:p>
    <w:p>
      <w:pPr>
        <w:pStyle w:val="3"/>
        <w:ind w:firstLine="540"/>
        <w:rPr>
          <w:rFonts w:hAnsi="宋体"/>
          <w:sz w:val="18"/>
        </w:rPr>
      </w:pPr>
      <w:r>
        <w:rPr>
          <w:rFonts w:hint="eastAsia" w:hAnsi="宋体"/>
          <w:sz w:val="18"/>
        </w:rPr>
        <w:t>4.境外企业行业类别代码(见附录一)。</w:t>
      </w:r>
    </w:p>
    <w:p>
      <w:pPr>
        <w:ind w:firstLine="540" w:firstLineChars="300"/>
        <w:rPr>
          <w:rFonts w:ascii="宋体" w:hAnsi="宋体"/>
          <w:sz w:val="18"/>
          <w:szCs w:val="18"/>
        </w:rPr>
      </w:pPr>
      <w:r>
        <w:rPr>
          <w:rFonts w:hint="eastAsia" w:ascii="宋体" w:hAnsi="宋体"/>
          <w:sz w:val="18"/>
          <w:szCs w:val="18"/>
        </w:rPr>
        <w:t>5.新增股权：等于报告年度境外企业股本增加额乘以中方股权份额。</w:t>
      </w:r>
    </w:p>
    <w:p>
      <w:pPr>
        <w:rPr>
          <w:rFonts w:ascii="宋体" w:hAnsi="宋体"/>
          <w:sz w:val="18"/>
          <w:szCs w:val="18"/>
        </w:rPr>
      </w:pPr>
      <w:r>
        <w:rPr>
          <w:rFonts w:hint="eastAsia" w:ascii="宋体" w:hAnsi="宋体"/>
          <w:sz w:val="18"/>
          <w:szCs w:val="18"/>
        </w:rPr>
        <w:t xml:space="preserve">      6.新增债务工具：指报告期境内投资者和境外子公司、分支机构以及联营公司之间的发生债务交易等，包括境内投资者与境外子公司、联营公司和分支机构的借贷款、应收和应付款项、债务证券等。</w:t>
      </w:r>
    </w:p>
    <w:p>
      <w:pPr>
        <w:ind w:firstLine="540" w:firstLineChars="300"/>
        <w:rPr>
          <w:rFonts w:ascii="宋体" w:hAnsi="宋体"/>
          <w:b/>
          <w:bCs/>
          <w:sz w:val="18"/>
          <w:szCs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对外投资并购基本事项</w:t>
      </w:r>
    </w:p>
    <w:tbl>
      <w:tblPr>
        <w:tblStyle w:val="11"/>
        <w:tblW w:w="9692" w:type="dxa"/>
        <w:tblInd w:w="-72" w:type="dxa"/>
        <w:tblLayout w:type="fixed"/>
        <w:tblCellMar>
          <w:top w:w="0" w:type="dxa"/>
          <w:left w:w="108" w:type="dxa"/>
          <w:bottom w:w="0" w:type="dxa"/>
          <w:right w:w="108" w:type="dxa"/>
        </w:tblCellMar>
      </w:tblPr>
      <w:tblGrid>
        <w:gridCol w:w="2577"/>
        <w:gridCol w:w="1260"/>
        <w:gridCol w:w="1203"/>
        <w:gridCol w:w="900"/>
        <w:gridCol w:w="347"/>
        <w:gridCol w:w="733"/>
        <w:gridCol w:w="1307"/>
        <w:gridCol w:w="1365"/>
      </w:tblGrid>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FDIY3表</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eastAsia="宋体"/>
                <w:sz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287" w:type="dxa"/>
            <w:gridSpan w:val="5"/>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05"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270" w:hRule="atLeast"/>
        </w:trPr>
        <w:tc>
          <w:tcPr>
            <w:tcW w:w="2577" w:type="dxa"/>
            <w:vMerge w:val="restart"/>
            <w:tcBorders>
              <w:tl2br w:val="single" w:color="auto" w:sz="2" w:space="0"/>
            </w:tcBorders>
            <w:shd w:val="clear" w:color="auto" w:fill="auto"/>
          </w:tcPr>
          <w:p>
            <w:pPr>
              <w:pStyle w:val="16"/>
              <w:rPr>
                <w:rFonts w:ascii="宋体" w:hAnsi="宋体" w:eastAsia="宋体"/>
                <w:b w:val="0"/>
                <w:sz w:val="18"/>
              </w:rPr>
            </w:pPr>
            <w:r>
              <w:rPr>
                <w:rFonts w:hint="eastAsia" w:ascii="宋体" w:hAnsi="宋体" w:eastAsia="宋体"/>
                <w:b w:val="0"/>
                <w:sz w:val="18"/>
              </w:rPr>
              <w:t xml:space="preserve">               </w:t>
            </w:r>
          </w:p>
          <w:p>
            <w:pPr>
              <w:pStyle w:val="16"/>
              <w:ind w:firstLine="1830" w:firstLineChars="1017"/>
              <w:rPr>
                <w:rFonts w:ascii="宋体" w:hAnsi="宋体" w:eastAsia="宋体"/>
                <w:b w:val="0"/>
                <w:sz w:val="18"/>
              </w:rPr>
            </w:pPr>
            <w:r>
              <w:rPr>
                <w:rFonts w:hint="eastAsia" w:ascii="宋体" w:hAnsi="宋体" w:eastAsia="宋体"/>
                <w:b w:val="0"/>
                <w:sz w:val="18"/>
              </w:rPr>
              <w:t>指标</w:t>
            </w:r>
          </w:p>
          <w:p>
            <w:pPr>
              <w:pStyle w:val="16"/>
              <w:rPr>
                <w:rFonts w:ascii="宋体" w:hAnsi="宋体" w:eastAsia="宋体"/>
                <w:b w:val="0"/>
                <w:sz w:val="18"/>
              </w:rPr>
            </w:pPr>
            <w:r>
              <w:rPr>
                <w:rFonts w:hint="eastAsia" w:ascii="宋体" w:hAnsi="宋体" w:eastAsia="宋体"/>
                <w:b w:val="0"/>
                <w:sz w:val="18"/>
              </w:rPr>
              <w:t>企业名称</w:t>
            </w:r>
          </w:p>
        </w:tc>
        <w:tc>
          <w:tcPr>
            <w:tcW w:w="1260" w:type="dxa"/>
            <w:vMerge w:val="restart"/>
            <w:tcBorders>
              <w:tl2br w:val="nil"/>
              <w:tr2bl w:val="nil"/>
            </w:tcBorders>
            <w:shd w:val="clear" w:color="auto" w:fill="auto"/>
          </w:tcPr>
          <w:p>
            <w:pPr>
              <w:pStyle w:val="16"/>
              <w:rPr>
                <w:rFonts w:ascii="宋体" w:hAnsi="宋体" w:eastAsia="宋体"/>
                <w:b w:val="0"/>
                <w:sz w:val="18"/>
              </w:rPr>
            </w:pPr>
            <w:r>
              <w:rPr>
                <w:rFonts w:hint="eastAsia" w:ascii="宋体" w:hAnsi="宋体" w:eastAsia="宋体"/>
                <w:b w:val="0"/>
                <w:sz w:val="18"/>
              </w:rPr>
              <w:t>被并购企业（项目）所在国家（地区）</w:t>
            </w:r>
          </w:p>
        </w:tc>
        <w:tc>
          <w:tcPr>
            <w:tcW w:w="1203" w:type="dxa"/>
            <w:vMerge w:val="restart"/>
            <w:tcBorders>
              <w:tl2br w:val="nil"/>
              <w:tr2bl w:val="nil"/>
            </w:tcBorders>
            <w:shd w:val="clear" w:color="auto" w:fill="auto"/>
          </w:tcPr>
          <w:p>
            <w:pPr>
              <w:pStyle w:val="16"/>
              <w:jc w:val="left"/>
              <w:rPr>
                <w:rFonts w:ascii="宋体" w:hAnsi="宋体" w:eastAsia="宋体"/>
                <w:b w:val="0"/>
                <w:sz w:val="18"/>
              </w:rPr>
            </w:pPr>
            <w:r>
              <w:rPr>
                <w:rFonts w:hint="eastAsia" w:ascii="宋体" w:hAnsi="宋体" w:eastAsia="宋体"/>
                <w:b w:val="0"/>
                <w:sz w:val="18"/>
              </w:rPr>
              <w:t>被并购企业（项目）所属的行业</w:t>
            </w:r>
          </w:p>
        </w:tc>
        <w:tc>
          <w:tcPr>
            <w:tcW w:w="900" w:type="dxa"/>
            <w:vMerge w:val="restart"/>
            <w:tcBorders>
              <w:tl2br w:val="nil"/>
              <w:tr2bl w:val="nil"/>
            </w:tcBorders>
            <w:shd w:val="clear" w:color="auto" w:fill="auto"/>
            <w:vAlign w:val="center"/>
          </w:tcPr>
          <w:p>
            <w:pPr>
              <w:pStyle w:val="16"/>
              <w:jc w:val="center"/>
              <w:rPr>
                <w:rFonts w:ascii="宋体" w:hAnsi="宋体" w:eastAsia="宋体"/>
                <w:b w:val="0"/>
                <w:sz w:val="18"/>
              </w:rPr>
            </w:pPr>
            <w:r>
              <w:rPr>
                <w:rFonts w:hint="eastAsia" w:ascii="宋体" w:hAnsi="宋体" w:eastAsia="宋体"/>
                <w:b w:val="0"/>
                <w:sz w:val="18"/>
              </w:rPr>
              <w:t>实施并购的路径</w:t>
            </w:r>
          </w:p>
        </w:tc>
        <w:tc>
          <w:tcPr>
            <w:tcW w:w="1080" w:type="dxa"/>
            <w:gridSpan w:val="2"/>
            <w:vMerge w:val="restart"/>
            <w:tcBorders>
              <w:tl2br w:val="nil"/>
              <w:tr2bl w:val="nil"/>
            </w:tcBorders>
            <w:shd w:val="clear" w:color="auto" w:fill="auto"/>
            <w:vAlign w:val="center"/>
          </w:tcPr>
          <w:p>
            <w:pPr>
              <w:widowControl/>
              <w:jc w:val="center"/>
              <w:rPr>
                <w:rFonts w:ascii="宋体" w:hAnsi="宋体"/>
                <w:sz w:val="18"/>
              </w:rPr>
            </w:pPr>
            <w:r>
              <w:rPr>
                <w:rFonts w:hint="eastAsia" w:ascii="宋体" w:hAnsi="宋体"/>
                <w:sz w:val="18"/>
              </w:rPr>
              <w:t>实施并购的</w:t>
            </w:r>
          </w:p>
          <w:p>
            <w:pPr>
              <w:widowControl/>
              <w:jc w:val="center"/>
              <w:rPr>
                <w:rFonts w:ascii="宋体" w:hAnsi="宋体" w:eastAsia="宋体"/>
                <w:sz w:val="18"/>
              </w:rPr>
            </w:pPr>
            <w:r>
              <w:rPr>
                <w:rFonts w:hint="eastAsia" w:ascii="宋体" w:hAnsi="宋体"/>
                <w:sz w:val="18"/>
              </w:rPr>
              <w:t>企业名称</w:t>
            </w:r>
          </w:p>
        </w:tc>
        <w:tc>
          <w:tcPr>
            <w:tcW w:w="2672" w:type="dxa"/>
            <w:gridSpan w:val="2"/>
            <w:tcBorders>
              <w:tl2br w:val="nil"/>
              <w:tr2bl w:val="nil"/>
            </w:tcBorders>
            <w:shd w:val="clear" w:color="auto" w:fill="auto"/>
            <w:vAlign w:val="center"/>
          </w:tcPr>
          <w:p>
            <w:pPr>
              <w:pStyle w:val="16"/>
              <w:jc w:val="center"/>
              <w:rPr>
                <w:rFonts w:ascii="宋体" w:hAnsi="宋体" w:eastAsia="宋体"/>
                <w:b w:val="0"/>
                <w:sz w:val="18"/>
              </w:rPr>
            </w:pPr>
            <w:r>
              <w:rPr>
                <w:rFonts w:hint="eastAsia" w:ascii="宋体" w:hAnsi="宋体" w:eastAsia="宋体"/>
                <w:b w:val="0"/>
                <w:sz w:val="18"/>
              </w:rPr>
              <w:t>并购后中方所占股权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660" w:hRule="atLeast"/>
        </w:trPr>
        <w:tc>
          <w:tcPr>
            <w:tcW w:w="2577" w:type="dxa"/>
            <w:vMerge w:val="continue"/>
            <w:tcBorders>
              <w:tl2br w:val="nil"/>
              <w:tr2bl w:val="nil"/>
            </w:tcBorders>
            <w:shd w:val="clear" w:color="auto" w:fill="auto"/>
            <w:vAlign w:val="center"/>
          </w:tcPr>
          <w:p>
            <w:pPr>
              <w:widowControl/>
              <w:jc w:val="left"/>
              <w:rPr>
                <w:rFonts w:ascii="宋体" w:hAnsi="宋体"/>
                <w:sz w:val="18"/>
              </w:rPr>
            </w:pPr>
          </w:p>
        </w:tc>
        <w:tc>
          <w:tcPr>
            <w:tcW w:w="1260" w:type="dxa"/>
            <w:vMerge w:val="continue"/>
            <w:tcBorders>
              <w:tl2br w:val="nil"/>
              <w:tr2bl w:val="nil"/>
            </w:tcBorders>
            <w:shd w:val="clear" w:color="auto" w:fill="auto"/>
            <w:vAlign w:val="center"/>
          </w:tcPr>
          <w:p>
            <w:pPr>
              <w:widowControl/>
              <w:jc w:val="left"/>
              <w:rPr>
                <w:rFonts w:ascii="宋体" w:hAnsi="宋体"/>
                <w:sz w:val="18"/>
              </w:rPr>
            </w:pPr>
          </w:p>
        </w:tc>
        <w:tc>
          <w:tcPr>
            <w:tcW w:w="1203" w:type="dxa"/>
            <w:vMerge w:val="continue"/>
            <w:tcBorders>
              <w:tl2br w:val="nil"/>
              <w:tr2bl w:val="nil"/>
            </w:tcBorders>
            <w:shd w:val="clear" w:color="auto" w:fill="auto"/>
            <w:vAlign w:val="center"/>
          </w:tcPr>
          <w:p>
            <w:pPr>
              <w:widowControl/>
              <w:jc w:val="left"/>
              <w:rPr>
                <w:rFonts w:ascii="宋体" w:hAnsi="宋体"/>
                <w:sz w:val="18"/>
              </w:rPr>
            </w:pPr>
          </w:p>
        </w:tc>
        <w:tc>
          <w:tcPr>
            <w:tcW w:w="900" w:type="dxa"/>
            <w:vMerge w:val="continue"/>
            <w:tcBorders>
              <w:tl2br w:val="nil"/>
              <w:tr2bl w:val="nil"/>
            </w:tcBorders>
            <w:shd w:val="clear" w:color="auto" w:fill="auto"/>
            <w:vAlign w:val="center"/>
          </w:tcPr>
          <w:p>
            <w:pPr>
              <w:widowControl/>
              <w:jc w:val="center"/>
              <w:rPr>
                <w:rFonts w:ascii="宋体" w:hAnsi="宋体"/>
                <w:sz w:val="18"/>
              </w:rPr>
            </w:pPr>
          </w:p>
        </w:tc>
        <w:tc>
          <w:tcPr>
            <w:tcW w:w="1080" w:type="dxa"/>
            <w:gridSpan w:val="2"/>
            <w:vMerge w:val="continue"/>
            <w:tcBorders>
              <w:tl2br w:val="nil"/>
              <w:tr2bl w:val="nil"/>
            </w:tcBorders>
            <w:shd w:val="clear" w:color="auto" w:fill="auto"/>
            <w:vAlign w:val="center"/>
          </w:tcPr>
          <w:p>
            <w:pPr>
              <w:widowControl/>
              <w:jc w:val="center"/>
              <w:rPr>
                <w:rFonts w:ascii="宋体" w:hAnsi="宋体"/>
                <w:sz w:val="18"/>
              </w:rPr>
            </w:pPr>
          </w:p>
        </w:tc>
        <w:tc>
          <w:tcPr>
            <w:tcW w:w="1307" w:type="dxa"/>
            <w:tcBorders>
              <w:tl2br w:val="nil"/>
              <w:tr2bl w:val="nil"/>
            </w:tcBorders>
            <w:shd w:val="clear" w:color="auto" w:fill="auto"/>
            <w:vAlign w:val="center"/>
          </w:tcPr>
          <w:p>
            <w:pPr>
              <w:pStyle w:val="16"/>
              <w:jc w:val="center"/>
              <w:rPr>
                <w:rFonts w:ascii="宋体" w:hAnsi="宋体" w:eastAsia="宋体"/>
                <w:b w:val="0"/>
                <w:sz w:val="18"/>
              </w:rPr>
            </w:pPr>
            <w:r>
              <w:rPr>
                <w:rFonts w:hint="eastAsia" w:ascii="宋体" w:hAnsi="宋体" w:eastAsia="宋体"/>
                <w:b w:val="0"/>
                <w:sz w:val="18"/>
              </w:rPr>
              <w:t>比重（%）</w:t>
            </w:r>
          </w:p>
        </w:tc>
        <w:tc>
          <w:tcPr>
            <w:tcW w:w="1365" w:type="dxa"/>
            <w:tcBorders>
              <w:tl2br w:val="nil"/>
              <w:tr2bl w:val="nil"/>
            </w:tcBorders>
            <w:shd w:val="clear" w:color="auto" w:fill="auto"/>
            <w:vAlign w:val="center"/>
          </w:tcPr>
          <w:p>
            <w:pPr>
              <w:pStyle w:val="16"/>
              <w:jc w:val="center"/>
              <w:rPr>
                <w:rFonts w:ascii="宋体" w:hAnsi="宋体" w:eastAsia="宋体"/>
                <w:b w:val="0"/>
                <w:sz w:val="18"/>
              </w:rPr>
            </w:pPr>
            <w:r>
              <w:rPr>
                <w:rFonts w:hint="eastAsia" w:ascii="宋体" w:hAnsi="宋体" w:eastAsia="宋体"/>
                <w:b w:val="0"/>
                <w:sz w:val="18"/>
              </w:rPr>
              <w:t>金额</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311" w:hRule="atLeast"/>
        </w:trPr>
        <w:tc>
          <w:tcPr>
            <w:tcW w:w="2577"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甲</w:t>
            </w:r>
          </w:p>
        </w:tc>
        <w:tc>
          <w:tcPr>
            <w:tcW w:w="1260"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乙</w:t>
            </w:r>
          </w:p>
        </w:tc>
        <w:tc>
          <w:tcPr>
            <w:tcW w:w="1203"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丙</w:t>
            </w:r>
          </w:p>
        </w:tc>
        <w:tc>
          <w:tcPr>
            <w:tcW w:w="900"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丁</w:t>
            </w:r>
          </w:p>
        </w:tc>
        <w:tc>
          <w:tcPr>
            <w:tcW w:w="1080" w:type="dxa"/>
            <w:gridSpan w:val="2"/>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戊</w:t>
            </w:r>
          </w:p>
        </w:tc>
        <w:tc>
          <w:tcPr>
            <w:tcW w:w="1307"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1</w:t>
            </w:r>
          </w:p>
        </w:tc>
        <w:tc>
          <w:tcPr>
            <w:tcW w:w="1365" w:type="dxa"/>
            <w:tcBorders>
              <w:tl2br w:val="nil"/>
              <w:tr2bl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836" w:hRule="atLeast"/>
        </w:trPr>
        <w:tc>
          <w:tcPr>
            <w:tcW w:w="2577" w:type="dxa"/>
            <w:tcBorders>
              <w:tl2br w:val="nil"/>
              <w:tr2bl w:val="nil"/>
            </w:tcBorders>
            <w:shd w:val="clear" w:color="auto" w:fill="auto"/>
          </w:tcPr>
          <w:p>
            <w:pPr>
              <w:pStyle w:val="16"/>
              <w:rPr>
                <w:rFonts w:ascii="宋体" w:hAnsi="宋体" w:eastAsia="宋体"/>
                <w:b w:val="0"/>
                <w:sz w:val="18"/>
              </w:rPr>
            </w:pPr>
            <w:r>
              <w:rPr>
                <w:rFonts w:hint="eastAsia" w:ascii="宋体" w:hAnsi="宋体" w:eastAsia="宋体"/>
                <w:b w:val="0"/>
                <w:sz w:val="18"/>
              </w:rPr>
              <w:t>境内投资者</w:t>
            </w:r>
          </w:p>
          <w:p>
            <w:pPr>
              <w:pStyle w:val="16"/>
              <w:rPr>
                <w:rFonts w:ascii="宋体" w:hAnsi="宋体" w:eastAsia="宋体"/>
                <w:b w:val="0"/>
                <w:sz w:val="18"/>
              </w:rPr>
            </w:pPr>
            <w:r>
              <w:rPr>
                <w:rFonts w:hint="eastAsia" w:ascii="宋体" w:hAnsi="宋体" w:eastAsia="宋体"/>
                <w:b w:val="0"/>
                <w:sz w:val="18"/>
              </w:rPr>
              <w:t xml:space="preserve">   被并购企业（项目）名称</w:t>
            </w:r>
          </w:p>
        </w:tc>
        <w:tc>
          <w:tcPr>
            <w:tcW w:w="7115" w:type="dxa"/>
            <w:gridSpan w:val="7"/>
            <w:tcBorders>
              <w:tl2br w:val="nil"/>
              <w:tr2bl w:val="nil"/>
            </w:tcBorders>
            <w:shd w:val="clear" w:color="auto" w:fill="auto"/>
          </w:tcPr>
          <w:p>
            <w:pPr>
              <w:pStyle w:val="16"/>
              <w:rPr>
                <w:rFonts w:ascii="宋体" w:hAnsi="宋体" w:eastAsia="宋体"/>
                <w:b w:val="0"/>
                <w:sz w:val="18"/>
              </w:rPr>
            </w:pPr>
          </w:p>
        </w:tc>
      </w:tr>
    </w:tbl>
    <w:p>
      <w:pPr>
        <w:pStyle w:val="16"/>
        <w:rPr>
          <w:rFonts w:ascii="宋体" w:hAnsi="宋体" w:eastAsia="宋体"/>
          <w:b w:val="0"/>
          <w:sz w:val="18"/>
        </w:rPr>
      </w:pPr>
      <w:r>
        <w:rPr>
          <w:rFonts w:hint="eastAsia" w:ascii="宋体" w:hAnsi="宋体" w:eastAsia="宋体"/>
          <w:b w:val="0"/>
          <w:sz w:val="18"/>
        </w:rPr>
        <w:t>续表</w:t>
      </w:r>
    </w:p>
    <w:tbl>
      <w:tblPr>
        <w:tblStyle w:val="11"/>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20"/>
        <w:gridCol w:w="1980"/>
        <w:gridCol w:w="216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35" w:type="dxa"/>
            <w:gridSpan w:val="5"/>
            <w:tcBorders>
              <w:top w:val="single" w:color="auto" w:sz="8" w:space="0"/>
              <w:left w:val="nil"/>
              <w:bottom w:val="single" w:color="auto" w:sz="2" w:space="0"/>
              <w:right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实际交易金额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08" w:type="dxa"/>
            <w:vMerge w:val="restart"/>
            <w:tcBorders>
              <w:top w:val="single" w:color="auto" w:sz="2" w:space="0"/>
              <w:left w:val="nil"/>
              <w:bottom w:val="single" w:color="auto" w:sz="2" w:space="0"/>
              <w:right w:val="single" w:color="auto" w:sz="2" w:space="0"/>
            </w:tcBorders>
            <w:shd w:val="clear" w:color="auto" w:fill="auto"/>
          </w:tcPr>
          <w:p>
            <w:pPr>
              <w:pStyle w:val="16"/>
              <w:jc w:val="center"/>
              <w:rPr>
                <w:rFonts w:ascii="宋体" w:hAnsi="宋体" w:eastAsia="宋体"/>
                <w:b w:val="0"/>
                <w:sz w:val="18"/>
              </w:rPr>
            </w:pPr>
          </w:p>
          <w:p>
            <w:pPr>
              <w:pStyle w:val="16"/>
              <w:jc w:val="center"/>
              <w:rPr>
                <w:rFonts w:ascii="宋体" w:hAnsi="宋体" w:eastAsia="宋体"/>
                <w:b w:val="0"/>
                <w:sz w:val="18"/>
              </w:rPr>
            </w:pPr>
            <w:r>
              <w:rPr>
                <w:rFonts w:hint="eastAsia" w:ascii="宋体" w:hAnsi="宋体" w:eastAsia="宋体"/>
                <w:b w:val="0"/>
                <w:sz w:val="18"/>
              </w:rPr>
              <w:t>总计</w:t>
            </w:r>
          </w:p>
        </w:tc>
        <w:tc>
          <w:tcPr>
            <w:tcW w:w="7727" w:type="dxa"/>
            <w:gridSpan w:val="4"/>
            <w:tcBorders>
              <w:top w:val="single" w:color="auto" w:sz="2" w:space="0"/>
              <w:left w:val="single" w:color="auto" w:sz="2" w:space="0"/>
              <w:bottom w:val="single" w:color="auto" w:sz="2" w:space="0"/>
              <w:right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08" w:type="dxa"/>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sz w:val="18"/>
              </w:rPr>
            </w:pPr>
          </w:p>
        </w:tc>
        <w:tc>
          <w:tcPr>
            <w:tcW w:w="162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自有资金</w:t>
            </w:r>
          </w:p>
        </w:tc>
        <w:tc>
          <w:tcPr>
            <w:tcW w:w="198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境内银行贷款</w:t>
            </w:r>
          </w:p>
        </w:tc>
        <w:tc>
          <w:tcPr>
            <w:tcW w:w="216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境外融资</w:t>
            </w:r>
          </w:p>
        </w:tc>
        <w:tc>
          <w:tcPr>
            <w:tcW w:w="1967" w:type="dxa"/>
            <w:tcBorders>
              <w:top w:val="single" w:color="auto" w:sz="2" w:space="0"/>
              <w:left w:val="single" w:color="auto" w:sz="2" w:space="0"/>
              <w:bottom w:val="single" w:color="auto" w:sz="2" w:space="0"/>
              <w:right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908" w:type="dxa"/>
            <w:tcBorders>
              <w:top w:val="single" w:color="auto" w:sz="2" w:space="0"/>
              <w:left w:val="nil"/>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3</w:t>
            </w:r>
          </w:p>
        </w:tc>
        <w:tc>
          <w:tcPr>
            <w:tcW w:w="162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4</w:t>
            </w:r>
          </w:p>
        </w:tc>
        <w:tc>
          <w:tcPr>
            <w:tcW w:w="198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5</w:t>
            </w:r>
          </w:p>
        </w:tc>
        <w:tc>
          <w:tcPr>
            <w:tcW w:w="2160" w:type="dxa"/>
            <w:tcBorders>
              <w:top w:val="single" w:color="auto" w:sz="2" w:space="0"/>
              <w:left w:val="single" w:color="auto" w:sz="2" w:space="0"/>
              <w:bottom w:val="single" w:color="auto" w:sz="2" w:space="0"/>
              <w:right w:val="single" w:color="auto" w:sz="2" w:space="0"/>
            </w:tcBorders>
            <w:shd w:val="clear" w:color="auto" w:fill="auto"/>
          </w:tcPr>
          <w:p>
            <w:pPr>
              <w:pStyle w:val="16"/>
              <w:jc w:val="center"/>
              <w:rPr>
                <w:rFonts w:ascii="宋体" w:hAnsi="宋体" w:eastAsia="宋体"/>
                <w:b w:val="0"/>
                <w:sz w:val="18"/>
              </w:rPr>
            </w:pPr>
            <w:r>
              <w:rPr>
                <w:rFonts w:hint="eastAsia" w:ascii="宋体" w:hAnsi="宋体" w:eastAsia="宋体"/>
                <w:b w:val="0"/>
                <w:sz w:val="18"/>
              </w:rPr>
              <w:t>6</w:t>
            </w:r>
          </w:p>
        </w:tc>
        <w:tc>
          <w:tcPr>
            <w:tcW w:w="1967" w:type="dxa"/>
            <w:tcBorders>
              <w:top w:val="single" w:color="auto" w:sz="2" w:space="0"/>
              <w:left w:val="single" w:color="auto" w:sz="2" w:space="0"/>
              <w:bottom w:val="single" w:color="auto" w:sz="2" w:space="0"/>
              <w:right w:val="nil"/>
            </w:tcBorders>
            <w:shd w:val="clear" w:color="auto" w:fill="auto"/>
          </w:tcPr>
          <w:p>
            <w:pPr>
              <w:pStyle w:val="16"/>
              <w:jc w:val="center"/>
              <w:rPr>
                <w:rFonts w:ascii="宋体" w:hAnsi="宋体" w:eastAsia="宋体"/>
                <w:b w:val="0"/>
                <w:sz w:val="18"/>
              </w:rPr>
            </w:pPr>
            <w:r>
              <w:rPr>
                <w:rFonts w:hint="eastAsia" w:ascii="宋体" w:hAnsi="宋体" w:eastAsia="宋体"/>
                <w:b w:val="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635" w:type="dxa"/>
            <w:gridSpan w:val="5"/>
            <w:tcBorders>
              <w:top w:val="single" w:color="auto" w:sz="2" w:space="0"/>
              <w:left w:val="nil"/>
              <w:bottom w:val="single" w:color="auto" w:sz="8" w:space="0"/>
              <w:right w:val="nil"/>
            </w:tcBorders>
            <w:shd w:val="clear" w:color="auto" w:fill="auto"/>
          </w:tcPr>
          <w:p>
            <w:pPr>
              <w:pStyle w:val="16"/>
              <w:rPr>
                <w:rFonts w:ascii="宋体" w:hAnsi="宋体" w:eastAsia="宋体"/>
                <w:b w:val="0"/>
                <w:sz w:val="18"/>
              </w:rPr>
            </w:pPr>
          </w:p>
          <w:p>
            <w:pPr>
              <w:pStyle w:val="16"/>
              <w:rPr>
                <w:rFonts w:ascii="宋体" w:hAnsi="宋体" w:eastAsia="宋体"/>
                <w:b w:val="0"/>
                <w:sz w:val="18"/>
              </w:rPr>
            </w:pPr>
          </w:p>
        </w:tc>
      </w:tr>
    </w:tbl>
    <w:p>
      <w:pPr>
        <w:rPr>
          <w:rFonts w:ascii="宋体" w:hAnsi="宋体"/>
          <w:sz w:val="18"/>
          <w:szCs w:val="18"/>
        </w:rPr>
      </w:pPr>
      <w:r>
        <w:rPr>
          <w:rFonts w:hint="eastAsia" w:ascii="宋体" w:hAnsi="宋体"/>
          <w:sz w:val="18"/>
          <w:szCs w:val="18"/>
        </w:rPr>
        <w:t>说明：1.本表综合反映报告期内境内投资者或其境外企业实施对外投资并购事项的实际情况。涉及境内投资者之间的境外</w:t>
      </w:r>
    </w:p>
    <w:p>
      <w:pPr>
        <w:rPr>
          <w:rFonts w:ascii="宋体" w:hAnsi="宋体"/>
          <w:sz w:val="18"/>
          <w:szCs w:val="18"/>
        </w:rPr>
      </w:pPr>
      <w:r>
        <w:rPr>
          <w:rFonts w:hint="eastAsia" w:ascii="宋体" w:hAnsi="宋体"/>
          <w:sz w:val="18"/>
          <w:szCs w:val="18"/>
        </w:rPr>
        <w:t>股权转让不属本表统计范畴。</w:t>
      </w:r>
    </w:p>
    <w:p>
      <w:pPr>
        <w:ind w:firstLine="360" w:firstLineChars="200"/>
        <w:rPr>
          <w:rFonts w:ascii="宋体" w:hAnsi="宋体"/>
          <w:sz w:val="18"/>
        </w:rPr>
      </w:pPr>
      <w:r>
        <w:rPr>
          <w:rFonts w:hint="eastAsia" w:ascii="宋体" w:hAnsi="宋体"/>
          <w:sz w:val="18"/>
          <w:szCs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360" w:firstLineChars="200"/>
        <w:rPr>
          <w:rFonts w:ascii="宋体" w:hAnsi="宋体"/>
          <w:sz w:val="18"/>
          <w:szCs w:val="18"/>
        </w:rPr>
      </w:pPr>
      <w:r>
        <w:rPr>
          <w:rFonts w:hint="eastAsia" w:ascii="宋体" w:hAnsi="宋体"/>
          <w:sz w:val="18"/>
          <w:szCs w:val="18"/>
        </w:rPr>
        <w:t>3.被并购企业</w:t>
      </w:r>
      <w:r>
        <w:rPr>
          <w:rFonts w:hint="eastAsia" w:ascii="宋体" w:hAnsi="宋体"/>
          <w:sz w:val="18"/>
        </w:rPr>
        <w:t>（项目）</w:t>
      </w:r>
      <w:r>
        <w:rPr>
          <w:rFonts w:hint="eastAsia" w:ascii="宋体" w:hAnsi="宋体"/>
          <w:sz w:val="18"/>
          <w:szCs w:val="18"/>
        </w:rPr>
        <w:t>所在国家（地区）：指被并购企业的注册国家(地区)或被并购</w:t>
      </w:r>
      <w:r>
        <w:rPr>
          <w:rFonts w:hint="eastAsia" w:ascii="宋体" w:hAnsi="宋体"/>
          <w:sz w:val="18"/>
        </w:rPr>
        <w:t>资产或其他权益</w:t>
      </w:r>
      <w:r>
        <w:rPr>
          <w:rFonts w:hint="eastAsia" w:ascii="宋体" w:hAnsi="宋体"/>
          <w:sz w:val="18"/>
          <w:szCs w:val="18"/>
        </w:rPr>
        <w:t>所在的国家（地</w:t>
      </w:r>
    </w:p>
    <w:p>
      <w:pPr>
        <w:ind w:firstLine="360" w:firstLineChars="200"/>
        <w:rPr>
          <w:rFonts w:ascii="宋体" w:hAnsi="宋体"/>
          <w:sz w:val="18"/>
          <w:szCs w:val="18"/>
        </w:rPr>
      </w:pPr>
      <w:r>
        <w:rPr>
          <w:rFonts w:hint="eastAsia" w:ascii="宋体" w:hAnsi="宋体"/>
          <w:sz w:val="18"/>
          <w:szCs w:val="18"/>
        </w:rPr>
        <w:t>区）名称。</w:t>
      </w:r>
    </w:p>
    <w:p>
      <w:pPr>
        <w:ind w:firstLine="360" w:firstLineChars="200"/>
        <w:rPr>
          <w:rFonts w:ascii="宋体" w:hAnsi="宋体"/>
          <w:sz w:val="18"/>
          <w:szCs w:val="18"/>
        </w:rPr>
      </w:pPr>
      <w:r>
        <w:rPr>
          <w:rFonts w:hint="eastAsia" w:ascii="宋体" w:hAnsi="宋体"/>
          <w:sz w:val="18"/>
          <w:szCs w:val="18"/>
        </w:rPr>
        <w:t>4.被并购企业</w:t>
      </w:r>
      <w:r>
        <w:rPr>
          <w:rFonts w:hint="eastAsia" w:ascii="宋体" w:hAnsi="宋体"/>
          <w:sz w:val="18"/>
        </w:rPr>
        <w:t>（项目）</w:t>
      </w:r>
      <w:r>
        <w:rPr>
          <w:rFonts w:hint="eastAsia" w:ascii="宋体" w:hAnsi="宋体"/>
          <w:sz w:val="18"/>
          <w:szCs w:val="18"/>
        </w:rPr>
        <w:t>所属的行业：按被并购企业主营业务或被并购资产或权益的性质分类(见附录一)。</w:t>
      </w:r>
    </w:p>
    <w:p>
      <w:pPr>
        <w:ind w:firstLine="360" w:firstLineChars="200"/>
        <w:rPr>
          <w:rFonts w:ascii="宋体" w:hAnsi="宋体"/>
          <w:sz w:val="18"/>
          <w:szCs w:val="18"/>
        </w:rPr>
      </w:pPr>
      <w:r>
        <w:rPr>
          <w:rFonts w:hint="eastAsia" w:ascii="宋体" w:hAnsi="宋体"/>
          <w:sz w:val="18"/>
          <w:szCs w:val="18"/>
        </w:rPr>
        <w:t>5.实现并购的路径：指境内投资者直接与卖方签署并购协议或通过其境外企业签署协议实施并购。</w:t>
      </w:r>
    </w:p>
    <w:p>
      <w:pPr>
        <w:ind w:firstLine="360" w:firstLineChars="200"/>
        <w:rPr>
          <w:rFonts w:ascii="宋体" w:hAnsi="宋体"/>
          <w:sz w:val="18"/>
          <w:szCs w:val="18"/>
        </w:rPr>
      </w:pPr>
      <w:r>
        <w:rPr>
          <w:rFonts w:hint="eastAsia" w:ascii="宋体" w:hAnsi="宋体"/>
          <w:sz w:val="18"/>
          <w:szCs w:val="18"/>
        </w:rPr>
        <w:t>6.实施并购的企业名称：指实际签订并购协议的境内投资者或其境外企业名称。</w:t>
      </w:r>
    </w:p>
    <w:p>
      <w:pPr>
        <w:ind w:firstLine="360" w:firstLineChars="200"/>
        <w:rPr>
          <w:rFonts w:ascii="宋体" w:hAnsi="宋体"/>
          <w:sz w:val="18"/>
          <w:szCs w:val="18"/>
        </w:rPr>
      </w:pPr>
      <w:r>
        <w:rPr>
          <w:rFonts w:hint="eastAsia" w:ascii="宋体" w:hAnsi="宋体"/>
          <w:sz w:val="18"/>
          <w:szCs w:val="18"/>
        </w:rPr>
        <w:t>7.并购后所占股权比重及金额：根据并购协议交易完成后境内投资者在被并购企业(项目)中的股权占比及金额填报。</w:t>
      </w:r>
    </w:p>
    <w:p>
      <w:pPr>
        <w:ind w:firstLine="360" w:firstLineChars="200"/>
        <w:rPr>
          <w:rFonts w:ascii="宋体" w:hAnsi="宋体"/>
          <w:sz w:val="18"/>
          <w:szCs w:val="18"/>
        </w:rPr>
      </w:pPr>
      <w:r>
        <w:rPr>
          <w:rFonts w:hint="eastAsia" w:ascii="宋体" w:hAnsi="宋体"/>
          <w:sz w:val="18"/>
          <w:szCs w:val="18"/>
        </w:rPr>
        <w:t>8.实际交易金额：指截至报告期根据收购协议境内投资者（或其境外企业）实际支付给卖方的资金总和，包括境内投资者的自有资金、境内投资者在境内取得的银行贷款以及通过境外融资方式取得的款项等。</w:t>
      </w:r>
    </w:p>
    <w:p>
      <w:pPr>
        <w:ind w:firstLine="360" w:firstLineChars="200"/>
        <w:rPr>
          <w:rFonts w:ascii="宋体" w:hAnsi="宋体"/>
          <w:spacing w:val="8"/>
          <w:sz w:val="18"/>
          <w:szCs w:val="18"/>
        </w:rPr>
      </w:pPr>
      <w:r>
        <w:rPr>
          <w:rFonts w:hint="eastAsia" w:ascii="宋体" w:hAnsi="宋体"/>
          <w:sz w:val="18"/>
          <w:szCs w:val="18"/>
        </w:rPr>
        <w:t>9.自有资金：</w:t>
      </w:r>
      <w:r>
        <w:rPr>
          <w:rFonts w:hint="eastAsia" w:ascii="宋体" w:hAnsi="宋体"/>
          <w:spacing w:val="8"/>
          <w:sz w:val="18"/>
          <w:szCs w:val="18"/>
        </w:rPr>
        <w:t>指境内投资者（或其境外企业）为进行生产经营活动所经常持有，可以自行支配使用并毋须偿还的那部分资金。</w:t>
      </w:r>
    </w:p>
    <w:p>
      <w:pPr>
        <w:ind w:firstLine="392" w:firstLineChars="200"/>
        <w:rPr>
          <w:sz w:val="18"/>
          <w:szCs w:val="18"/>
        </w:rPr>
      </w:pPr>
      <w:r>
        <w:rPr>
          <w:rFonts w:hint="eastAsia" w:ascii="宋体" w:hAnsi="宋体"/>
          <w:spacing w:val="8"/>
          <w:sz w:val="18"/>
          <w:szCs w:val="18"/>
        </w:rPr>
        <w:t>10.境内银行贷款：</w:t>
      </w:r>
      <w:r>
        <w:rPr>
          <w:rFonts w:hint="eastAsia"/>
          <w:sz w:val="18"/>
          <w:szCs w:val="18"/>
        </w:rPr>
        <w:t>境内投资者（或其境外企业）为实施境外并购项目按一定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从的我国境内银行性金融机构（包括政策性银行、商业银行、城市商业银行、城市信用合作社、外资银行等）取得的贷款。</w:t>
      </w:r>
    </w:p>
    <w:p>
      <w:pPr>
        <w:ind w:firstLine="360" w:firstLineChars="200"/>
        <w:rPr>
          <w:rFonts w:ascii="宋体" w:hAnsi="宋体"/>
          <w:sz w:val="18"/>
          <w:szCs w:val="18"/>
        </w:rPr>
      </w:pPr>
      <w:r>
        <w:rPr>
          <w:rFonts w:hint="eastAsia" w:ascii="宋体" w:hAnsi="宋体"/>
          <w:sz w:val="18"/>
          <w:szCs w:val="18"/>
        </w:rPr>
        <w:t>11.境外融资：主要包括两部分内容（1）境内投资者（或其境外企业）为实施境外并购项目依照贷款所在国家（地区）相关法律按</w:t>
      </w:r>
      <w:r>
        <w:rPr>
          <w:rFonts w:hint="eastAsia"/>
          <w:sz w:val="18"/>
          <w:szCs w:val="18"/>
        </w:rPr>
        <w:t>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从境外银行（包括我国金融机构在境外设立的附属机构等）取得的贷款。（2）境内投资者（或其境外企业）依照融资所在国家（地区）法律</w:t>
      </w:r>
      <w:r>
        <w:rPr>
          <w:rFonts w:hint="eastAsia" w:ascii="宋体" w:hAnsi="宋体"/>
          <w:sz w:val="18"/>
          <w:szCs w:val="18"/>
        </w:rPr>
        <w:t>规定，从境外资本市场和货币市场取得的融资款项。</w:t>
      </w:r>
    </w:p>
    <w:p>
      <w:pPr>
        <w:ind w:firstLine="360" w:firstLineChars="200"/>
        <w:rPr>
          <w:rFonts w:ascii="宋体" w:hAnsi="宋体"/>
          <w:b/>
          <w:sz w:val="18"/>
          <w:szCs w:val="18"/>
        </w:rPr>
      </w:pPr>
    </w:p>
    <w:p>
      <w:pPr>
        <w:ind w:firstLine="3171" w:firstLineChars="991"/>
        <w:rPr>
          <w:b/>
          <w:sz w:val="32"/>
          <w:szCs w:val="32"/>
        </w:rPr>
      </w:pPr>
      <w:r>
        <w:rPr>
          <w:rFonts w:hint="eastAsia"/>
          <w:b/>
          <w:sz w:val="32"/>
          <w:szCs w:val="32"/>
        </w:rPr>
        <w:br w:type="page"/>
      </w:r>
    </w:p>
    <w:p>
      <w:pPr>
        <w:ind w:firstLine="3171" w:firstLineChars="991"/>
        <w:rPr>
          <w:b/>
          <w:sz w:val="32"/>
          <w:szCs w:val="32"/>
        </w:rPr>
      </w:pPr>
      <w:r>
        <w:rPr>
          <w:rFonts w:hint="eastAsia"/>
          <w:b/>
          <w:sz w:val="32"/>
          <w:szCs w:val="32"/>
        </w:rPr>
        <w:t>农业对外投资合作情况</w:t>
      </w:r>
    </w:p>
    <w:tbl>
      <w:tblPr>
        <w:tblStyle w:val="11"/>
        <w:tblW w:w="9796" w:type="dxa"/>
        <w:tblInd w:w="-145" w:type="dxa"/>
        <w:tblLayout w:type="fixed"/>
        <w:tblCellMar>
          <w:top w:w="0" w:type="dxa"/>
          <w:left w:w="108" w:type="dxa"/>
          <w:bottom w:w="0" w:type="dxa"/>
          <w:right w:w="108" w:type="dxa"/>
        </w:tblCellMar>
      </w:tblPr>
      <w:tblGrid>
        <w:gridCol w:w="2067"/>
        <w:gridCol w:w="899"/>
        <w:gridCol w:w="719"/>
        <w:gridCol w:w="719"/>
        <w:gridCol w:w="900"/>
        <w:gridCol w:w="720"/>
        <w:gridCol w:w="720"/>
        <w:gridCol w:w="900"/>
        <w:gridCol w:w="720"/>
        <w:gridCol w:w="720"/>
        <w:gridCol w:w="712"/>
      </w:tblGrid>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FDIY4表</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52"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744"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52"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计量单位：公顷、万美元、人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2067"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企业或项目名称</w:t>
            </w:r>
          </w:p>
        </w:tc>
        <w:tc>
          <w:tcPr>
            <w:tcW w:w="2337" w:type="dxa"/>
            <w:gridSpan w:val="3"/>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租用土地（或签订承包合同）情况</w:t>
            </w:r>
          </w:p>
        </w:tc>
        <w:tc>
          <w:tcPr>
            <w:tcW w:w="2340" w:type="dxa"/>
            <w:gridSpan w:val="3"/>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购买土地（使用权）情况</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累计投资额</w:t>
            </w:r>
          </w:p>
          <w:p>
            <w:pPr>
              <w:jc w:val="center"/>
              <w:rPr>
                <w:sz w:val="18"/>
              </w:rPr>
            </w:pPr>
          </w:p>
          <w:p>
            <w:pPr>
              <w:jc w:val="center"/>
              <w:rPr>
                <w:sz w:val="18"/>
              </w:rPr>
            </w:pP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widowControl/>
              <w:jc w:val="left"/>
              <w:rPr>
                <w:sz w:val="18"/>
              </w:rPr>
            </w:pPr>
            <w:r>
              <w:rPr>
                <w:rFonts w:hint="eastAsia"/>
                <w:sz w:val="18"/>
              </w:rPr>
              <w:t>带动国内农业机具出口</w:t>
            </w:r>
          </w:p>
        </w:tc>
        <w:tc>
          <w:tcPr>
            <w:tcW w:w="720"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从业人员期末人数</w:t>
            </w:r>
          </w:p>
        </w:tc>
        <w:tc>
          <w:tcPr>
            <w:tcW w:w="712"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2337"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2340"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restart"/>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99"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租用</w:t>
            </w:r>
          </w:p>
          <w:p>
            <w:pPr>
              <w:jc w:val="center"/>
              <w:rPr>
                <w:sz w:val="18"/>
              </w:rPr>
            </w:pPr>
            <w:r>
              <w:rPr>
                <w:rFonts w:hint="eastAsia"/>
                <w:sz w:val="18"/>
              </w:rPr>
              <w:t>年限</w:t>
            </w:r>
          </w:p>
          <w:p>
            <w:pPr>
              <w:jc w:val="center"/>
              <w:rPr>
                <w:sz w:val="18"/>
              </w:rPr>
            </w:pPr>
          </w:p>
        </w:tc>
        <w:tc>
          <w:tcPr>
            <w:tcW w:w="1438" w:type="dxa"/>
            <w:gridSpan w:val="2"/>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面积</w:t>
            </w:r>
          </w:p>
        </w:tc>
        <w:tc>
          <w:tcPr>
            <w:tcW w:w="1620" w:type="dxa"/>
            <w:gridSpan w:val="2"/>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面积</w:t>
            </w:r>
          </w:p>
        </w:tc>
        <w:tc>
          <w:tcPr>
            <w:tcW w:w="720"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使用</w:t>
            </w:r>
          </w:p>
          <w:p>
            <w:pPr>
              <w:jc w:val="center"/>
              <w:rPr>
                <w:sz w:val="18"/>
              </w:rPr>
            </w:pPr>
            <w:r>
              <w:rPr>
                <w:rFonts w:hint="eastAsia"/>
                <w:sz w:val="18"/>
              </w:rPr>
              <w:t>年限</w:t>
            </w: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当月</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累计</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当月</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累计</w:t>
            </w: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067"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712"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2067"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境内投资者</w:t>
            </w:r>
          </w:p>
          <w:p>
            <w:pPr>
              <w:rPr>
                <w:sz w:val="18"/>
              </w:rPr>
            </w:pPr>
            <w:r>
              <w:rPr>
                <w:sz w:val="18"/>
              </w:rPr>
              <w:t>**</w:t>
            </w:r>
            <w:r>
              <w:rPr>
                <w:rFonts w:hint="eastAsia"/>
                <w:sz w:val="18"/>
              </w:rPr>
              <w:t>国家（地区）</w:t>
            </w:r>
          </w:p>
          <w:p>
            <w:pPr>
              <w:rPr>
                <w:sz w:val="18"/>
              </w:rPr>
            </w:pPr>
            <w:r>
              <w:rPr>
                <w:sz w:val="18"/>
              </w:rPr>
              <w:t>**</w:t>
            </w:r>
            <w:r>
              <w:rPr>
                <w:rFonts w:hint="eastAsia"/>
                <w:sz w:val="18"/>
              </w:rPr>
              <w:t>国家（地区）</w:t>
            </w:r>
          </w:p>
          <w:p>
            <w:pPr>
              <w:rPr>
                <w:sz w:val="18"/>
              </w:rPr>
            </w:pPr>
          </w:p>
        </w:tc>
        <w:tc>
          <w:tcPr>
            <w:tcW w:w="7729" w:type="dxa"/>
            <w:gridSpan w:val="10"/>
            <w:tcBorders>
              <w:top w:val="single" w:color="auto" w:sz="2" w:space="0"/>
              <w:left w:val="single" w:color="auto" w:sz="2" w:space="0"/>
              <w:bottom w:val="single" w:color="auto" w:sz="8" w:space="0"/>
              <w:right w:val="nil"/>
            </w:tcBorders>
            <w:vAlign w:val="center"/>
          </w:tcPr>
          <w:p>
            <w:pPr>
              <w:rPr>
                <w:sz w:val="18"/>
              </w:rPr>
            </w:pPr>
          </w:p>
        </w:tc>
      </w:tr>
    </w:tbl>
    <w:p>
      <w:r>
        <w:rPr>
          <w:rFonts w:hint="eastAsia" w:ascii="宋体" w:hAnsi="宋体"/>
          <w:sz w:val="18"/>
        </w:rPr>
        <w:t xml:space="preserve">填报人：　　　　　　单位负责人：　　　　　　　　　联系电话：　　　　　　　　　报出日期： </w:t>
      </w:r>
    </w:p>
    <w:p>
      <w:pPr>
        <w:ind w:left="-196" w:leftChars="-95" w:hanging="3"/>
        <w:rPr>
          <w:rFonts w:ascii="宋体" w:hAnsi="宋体"/>
          <w:sz w:val="18"/>
          <w:szCs w:val="18"/>
        </w:rPr>
      </w:pPr>
      <w:r>
        <w:rPr>
          <w:rFonts w:hint="eastAsia"/>
          <w:sz w:val="18"/>
          <w:szCs w:val="18"/>
        </w:rPr>
        <w:t>说明</w:t>
      </w:r>
      <w:r>
        <w:rPr>
          <w:rFonts w:hint="eastAsia" w:ascii="宋体" w:hAnsi="宋体"/>
          <w:sz w:val="18"/>
          <w:szCs w:val="18"/>
        </w:rPr>
        <w:t>：1.本表综合反映报告期境内投资者在国（境）外开展农业类对外投资合作的基本情况。</w:t>
      </w:r>
    </w:p>
    <w:p>
      <w:pPr>
        <w:ind w:left="-193" w:leftChars="-92" w:firstLine="525" w:firstLineChars="292"/>
        <w:rPr>
          <w:rFonts w:ascii="宋体" w:hAnsi="宋体"/>
          <w:sz w:val="18"/>
          <w:szCs w:val="18"/>
        </w:rPr>
      </w:pPr>
      <w:r>
        <w:rPr>
          <w:rFonts w:hint="eastAsia" w:ascii="宋体" w:hAnsi="宋体"/>
          <w:sz w:val="18"/>
          <w:szCs w:val="18"/>
        </w:rPr>
        <w:t>2.农业对外投资合作：指境内投资者通过直接投资或再投资方式拥有、控制国（境）外农业类境外企业或项目的活动，我国对外援助农业示范中心不纳入统计范围。</w:t>
      </w:r>
    </w:p>
    <w:p>
      <w:pPr>
        <w:ind w:left="-193" w:leftChars="-92" w:firstLine="525" w:firstLineChars="292"/>
        <w:rPr>
          <w:rFonts w:ascii="宋体" w:hAnsi="宋体"/>
          <w:sz w:val="18"/>
          <w:szCs w:val="18"/>
        </w:rPr>
      </w:pPr>
      <w:r>
        <w:rPr>
          <w:rFonts w:hint="eastAsia" w:ascii="宋体" w:hAnsi="宋体"/>
          <w:sz w:val="18"/>
          <w:szCs w:val="18"/>
        </w:rPr>
        <w:t>3.境内投资者于月后10日前报省级商务主管部门或商务部。</w:t>
      </w:r>
    </w:p>
    <w:p>
      <w:pPr>
        <w:ind w:left="-193" w:leftChars="-92" w:firstLine="525" w:firstLineChars="292"/>
        <w:rPr>
          <w:rFonts w:ascii="宋体" w:hAnsi="宋体"/>
          <w:sz w:val="18"/>
          <w:szCs w:val="18"/>
        </w:rPr>
      </w:pPr>
      <w:r>
        <w:rPr>
          <w:rFonts w:hint="eastAsia" w:ascii="宋体" w:hAnsi="宋体"/>
          <w:sz w:val="18"/>
          <w:szCs w:val="18"/>
        </w:rPr>
        <w:t>4.国家（地区）：指农业类境外企业注册登记的国家（地区）以及农业投资类项目实际所在的国家（地区）。</w:t>
      </w:r>
    </w:p>
    <w:p>
      <w:pPr>
        <w:ind w:left="-193" w:leftChars="-92" w:firstLine="525" w:firstLineChars="292"/>
        <w:rPr>
          <w:rFonts w:ascii="宋体" w:hAnsi="宋体"/>
          <w:sz w:val="18"/>
          <w:szCs w:val="18"/>
        </w:rPr>
      </w:pPr>
      <w:r>
        <w:rPr>
          <w:rFonts w:hint="eastAsia" w:ascii="宋体" w:hAnsi="宋体"/>
          <w:sz w:val="18"/>
          <w:szCs w:val="18"/>
        </w:rPr>
        <w:t>5.租用土地、购买土地情况：指境内投资者（或其境外企业）与投资所在国家（地区）土地拥有者签订的土地租用（或签订土地承包合同）、购买土地使用权情况，面积按租用或购买合同文本中规定的数量填报。“当月”指报告期新租用和购买的土地面积；“累计”指截至报告期末在某个国家或地区拥有的租用和购买的土地面积数量的总额。租用年限按10年以上（含10年）和10年以下进行统计，若境内投资者（或境外企业）在同一国家（地区）租用或购买年限不同的地块，相关年限按租用或购买土地面积最大的地块年限统计。</w:t>
      </w:r>
    </w:p>
    <w:p>
      <w:pPr>
        <w:ind w:left="-193" w:leftChars="-92" w:firstLine="525" w:firstLineChars="292"/>
        <w:rPr>
          <w:rFonts w:ascii="宋体" w:hAnsi="宋体"/>
          <w:sz w:val="18"/>
          <w:szCs w:val="18"/>
        </w:rPr>
      </w:pPr>
      <w:r>
        <w:rPr>
          <w:rFonts w:hint="eastAsia" w:ascii="宋体" w:hAnsi="宋体"/>
          <w:sz w:val="18"/>
          <w:szCs w:val="18"/>
        </w:rPr>
        <w:t>6.累计投资额：指截至报告期末境内投资者（或其境外企业）对该境外企业或项目实现的投资总额，包括境内投资者（或境外企业）通过各种渠道（包括自有资金、境内外银行贷款等）投入的资金总和。</w:t>
      </w:r>
    </w:p>
    <w:p>
      <w:pPr>
        <w:ind w:left="-193" w:leftChars="-92" w:firstLine="525" w:firstLineChars="292"/>
        <w:rPr>
          <w:rFonts w:ascii="宋体" w:hAnsi="宋体"/>
          <w:sz w:val="18"/>
        </w:rPr>
      </w:pPr>
      <w:r>
        <w:rPr>
          <w:rFonts w:hint="eastAsia" w:ascii="宋体" w:hAnsi="宋体"/>
          <w:sz w:val="18"/>
          <w:szCs w:val="18"/>
        </w:rPr>
        <w:t>7.</w:t>
      </w:r>
      <w:r>
        <w:rPr>
          <w:rFonts w:hint="eastAsia" w:ascii="宋体" w:hAnsi="宋体"/>
          <w:sz w:val="18"/>
        </w:rPr>
        <w:t>带动国内农业机具出口：指报告期境内投资者通过农业对外投资项目而带出的农业机具（包括耕作机械、排灌机械、收获机械、农业运输机械等）出口总值。不包括暂出复进的农业机具。</w:t>
      </w:r>
    </w:p>
    <w:p>
      <w:pPr>
        <w:ind w:left="-193" w:leftChars="-92" w:firstLine="525" w:firstLineChars="292"/>
        <w:rPr>
          <w:rFonts w:ascii="宋体" w:hAnsi="宋体"/>
          <w:sz w:val="18"/>
        </w:rPr>
      </w:pPr>
      <w:r>
        <w:rPr>
          <w:rFonts w:hint="eastAsia" w:ascii="宋体" w:hAnsi="宋体"/>
          <w:sz w:val="18"/>
          <w:szCs w:val="18"/>
        </w:rPr>
        <w:t>8.从业人员期末人数：指报告期末在农业类境外企业或项目中从事一定的劳动并取得劳动报酬的全部人员数量。</w:t>
      </w:r>
    </w:p>
    <w:p>
      <w:pPr>
        <w:ind w:left="90" w:leftChars="43" w:firstLine="270" w:firstLineChars="150"/>
        <w:rPr>
          <w:rFonts w:ascii="宋体" w:hAnsi="宋体"/>
          <w:sz w:val="18"/>
          <w:szCs w:val="18"/>
        </w:rPr>
      </w:pPr>
    </w:p>
    <w:p>
      <w:pPr>
        <w:jc w:val="center"/>
        <w:rPr>
          <w:b/>
          <w:sz w:val="32"/>
          <w:szCs w:val="32"/>
        </w:rPr>
      </w:pPr>
      <w:r>
        <w:rPr>
          <w:rFonts w:hint="eastAsia"/>
          <w:b/>
          <w:sz w:val="32"/>
          <w:szCs w:val="32"/>
        </w:rPr>
        <w:br w:type="page"/>
      </w:r>
    </w:p>
    <w:p>
      <w:pPr>
        <w:jc w:val="center"/>
        <w:rPr>
          <w:b/>
          <w:sz w:val="32"/>
          <w:szCs w:val="32"/>
        </w:rPr>
      </w:pPr>
      <w:r>
        <w:rPr>
          <w:rFonts w:hint="eastAsia"/>
          <w:b/>
          <w:sz w:val="32"/>
          <w:szCs w:val="32"/>
        </w:rPr>
        <w:t>境外经济贸易合作区情况</w:t>
      </w:r>
    </w:p>
    <w:tbl>
      <w:tblPr>
        <w:tblStyle w:val="11"/>
        <w:tblW w:w="9505" w:type="dxa"/>
        <w:tblInd w:w="0" w:type="dxa"/>
        <w:tblLayout w:type="fixed"/>
        <w:tblCellMar>
          <w:top w:w="0" w:type="dxa"/>
          <w:left w:w="108" w:type="dxa"/>
          <w:bottom w:w="0" w:type="dxa"/>
          <w:right w:w="108" w:type="dxa"/>
        </w:tblCellMar>
      </w:tblPr>
      <w:tblGrid>
        <w:gridCol w:w="2091"/>
        <w:gridCol w:w="709"/>
        <w:gridCol w:w="759"/>
        <w:gridCol w:w="647"/>
        <w:gridCol w:w="710"/>
        <w:gridCol w:w="745"/>
        <w:gridCol w:w="385"/>
        <w:gridCol w:w="185"/>
        <w:gridCol w:w="780"/>
        <w:gridCol w:w="570"/>
        <w:gridCol w:w="708"/>
        <w:gridCol w:w="792"/>
        <w:gridCol w:w="424"/>
      </w:tblGrid>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FDIY5表</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046"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59" w:type="dxa"/>
            <w:gridSpan w:val="6"/>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计量单位：万美元、万平方米、个、人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091"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p>
          <w:p>
            <w:pPr>
              <w:ind w:firstLine="180"/>
              <w:jc w:val="center"/>
              <w:rPr>
                <w:sz w:val="18"/>
              </w:rPr>
            </w:pPr>
            <w:r>
              <w:rPr>
                <w:rFonts w:hint="eastAsia"/>
                <w:sz w:val="18"/>
              </w:rPr>
              <w:t xml:space="preserve">      指标</w:t>
            </w:r>
          </w:p>
          <w:p>
            <w:pPr>
              <w:ind w:firstLine="90"/>
              <w:rPr>
                <w:sz w:val="18"/>
              </w:rPr>
            </w:pPr>
          </w:p>
          <w:p>
            <w:pPr>
              <w:rPr>
                <w:sz w:val="18"/>
              </w:rPr>
            </w:pPr>
            <w:r>
              <w:rPr>
                <w:rFonts w:hint="eastAsia"/>
                <w:sz w:val="18"/>
              </w:rPr>
              <w:t>企业、合作区</w:t>
            </w:r>
          </w:p>
          <w:p>
            <w:pPr>
              <w:rPr>
                <w:sz w:val="18"/>
              </w:rPr>
            </w:pPr>
            <w:r>
              <w:rPr>
                <w:rFonts w:hint="eastAsia"/>
                <w:sz w:val="18"/>
              </w:rPr>
              <w:t>名称</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w:t>
            </w:r>
            <w:r>
              <w:rPr>
                <w:sz w:val="18"/>
              </w:rPr>
              <w:t>(</w:t>
            </w:r>
            <w:r>
              <w:rPr>
                <w:rFonts w:hint="eastAsia"/>
                <w:sz w:val="18"/>
              </w:rPr>
              <w:t>地区</w:t>
            </w:r>
            <w:r>
              <w:rPr>
                <w:sz w:val="18"/>
              </w:rPr>
              <w:t>)</w:t>
            </w:r>
          </w:p>
        </w:tc>
        <w:tc>
          <w:tcPr>
            <w:tcW w:w="75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时间</w:t>
            </w:r>
          </w:p>
        </w:tc>
        <w:tc>
          <w:tcPr>
            <w:tcW w:w="64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合作区类型</w:t>
            </w:r>
          </w:p>
        </w:tc>
        <w:tc>
          <w:tcPr>
            <w:tcW w:w="71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现有合作区面积</w:t>
            </w:r>
          </w:p>
        </w:tc>
        <w:tc>
          <w:tcPr>
            <w:tcW w:w="74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合作区土地使用年限</w:t>
            </w:r>
          </w:p>
        </w:tc>
        <w:tc>
          <w:tcPr>
            <w:tcW w:w="1920" w:type="dxa"/>
            <w:gridSpan w:val="4"/>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建区企业投资额</w:t>
            </w:r>
          </w:p>
        </w:tc>
        <w:tc>
          <w:tcPr>
            <w:tcW w:w="1924" w:type="dxa"/>
            <w:gridSpan w:val="3"/>
            <w:tcBorders>
              <w:top w:val="single" w:color="auto" w:sz="8" w:space="0"/>
              <w:left w:val="nil"/>
              <w:bottom w:val="single" w:color="auto" w:sz="2" w:space="0"/>
              <w:right w:val="nil"/>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1" w:type="dxa"/>
            <w:vMerge w:val="continue"/>
            <w:tcBorders>
              <w:top w:val="single" w:color="auto" w:sz="2" w:space="0"/>
              <w:left w:val="nil"/>
              <w:bottom w:val="single" w:color="auto" w:sz="2" w:space="0"/>
              <w:right w:val="single" w:color="auto" w:sz="2" w:space="0"/>
            </w:tcBorders>
            <w:vAlign w:val="center"/>
          </w:tcPr>
          <w:p>
            <w:pPr>
              <w:ind w:firstLine="180"/>
              <w:jc w:val="center"/>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10"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4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0" w:type="dxa"/>
            <w:gridSpan w:val="4"/>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4" w:type="dxa"/>
            <w:gridSpan w:val="3"/>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其中：建区企业基础</w:t>
            </w:r>
          </w:p>
          <w:p>
            <w:pPr>
              <w:jc w:val="center"/>
              <w:rPr>
                <w:sz w:val="18"/>
              </w:rPr>
            </w:pPr>
            <w:r>
              <w:rPr>
                <w:rFonts w:hint="eastAsia"/>
                <w:sz w:val="18"/>
              </w:rPr>
              <w:t>设施建设投资额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2091"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47"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71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570" w:type="dxa"/>
            <w:gridSpan w:val="2"/>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累计</w:t>
            </w:r>
          </w:p>
        </w:tc>
        <w:tc>
          <w:tcPr>
            <w:tcW w:w="13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其中</w:t>
            </w:r>
          </w:p>
        </w:tc>
        <w:tc>
          <w:tcPr>
            <w:tcW w:w="708"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累计</w:t>
            </w:r>
          </w:p>
        </w:tc>
        <w:tc>
          <w:tcPr>
            <w:tcW w:w="1216" w:type="dxa"/>
            <w:gridSpan w:val="2"/>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ascii="宋体" w:hAnsi="宋体"/>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091"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47"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710"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570"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7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1-本月累计</w:t>
            </w:r>
          </w:p>
        </w:tc>
        <w:tc>
          <w:tcPr>
            <w:tcW w:w="57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当月</w:t>
            </w: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1-本月累计</w:t>
            </w:r>
          </w:p>
        </w:tc>
        <w:tc>
          <w:tcPr>
            <w:tcW w:w="424" w:type="dxa"/>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ascii="宋体" w:hAnsi="宋体"/>
                <w:sz w:val="18"/>
                <w:szCs w:val="18"/>
              </w:rPr>
              <w:t>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091"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5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6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710" w:type="dxa"/>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hint="eastAsia" w:ascii="宋体" w:hAnsi="宋体"/>
                <w:sz w:val="18"/>
              </w:rPr>
              <w:t>1</w:t>
            </w:r>
          </w:p>
        </w:tc>
        <w:tc>
          <w:tcPr>
            <w:tcW w:w="7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57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7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0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424"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091" w:type="dxa"/>
            <w:tcBorders>
              <w:top w:val="single" w:color="auto" w:sz="2" w:space="0"/>
              <w:left w:val="nil"/>
              <w:bottom w:val="single" w:color="auto" w:sz="8" w:space="0"/>
              <w:right w:val="single" w:color="auto" w:sz="2" w:space="0"/>
            </w:tcBorders>
            <w:vAlign w:val="center"/>
          </w:tcPr>
          <w:p>
            <w:pPr>
              <w:rPr>
                <w:sz w:val="18"/>
              </w:rPr>
            </w:pPr>
            <w:r>
              <w:rPr>
                <w:rFonts w:hint="eastAsia"/>
                <w:sz w:val="18"/>
              </w:rPr>
              <w:t>合计</w:t>
            </w:r>
          </w:p>
          <w:p>
            <w:pPr>
              <w:rPr>
                <w:sz w:val="18"/>
              </w:rPr>
            </w:pPr>
            <w:r>
              <w:rPr>
                <w:sz w:val="18"/>
              </w:rPr>
              <w:t>**</w:t>
            </w:r>
            <w:r>
              <w:rPr>
                <w:rFonts w:hint="eastAsia"/>
                <w:sz w:val="18"/>
              </w:rPr>
              <w:t>实施企业</w:t>
            </w:r>
          </w:p>
          <w:p>
            <w:pPr>
              <w:rPr>
                <w:sz w:val="18"/>
              </w:rPr>
            </w:pPr>
            <w:r>
              <w:rPr>
                <w:sz w:val="18"/>
              </w:rPr>
              <w:t xml:space="preserve">  **</w:t>
            </w:r>
            <w:r>
              <w:rPr>
                <w:rFonts w:hint="eastAsia"/>
                <w:sz w:val="18"/>
              </w:rPr>
              <w:t>合作区</w:t>
            </w:r>
          </w:p>
        </w:tc>
        <w:tc>
          <w:tcPr>
            <w:tcW w:w="7414" w:type="dxa"/>
            <w:gridSpan w:val="12"/>
            <w:tcBorders>
              <w:top w:val="single" w:color="auto" w:sz="2" w:space="0"/>
              <w:left w:val="single" w:color="auto" w:sz="2" w:space="0"/>
              <w:bottom w:val="single" w:color="auto" w:sz="8" w:space="0"/>
              <w:right w:val="nil"/>
            </w:tcBorders>
          </w:tcPr>
          <w:p>
            <w:pPr>
              <w:widowControl/>
              <w:jc w:val="center"/>
              <w:rPr>
                <w:sz w:val="18"/>
              </w:rPr>
            </w:pPr>
          </w:p>
        </w:tc>
      </w:tr>
    </w:tbl>
    <w:p>
      <w:pPr>
        <w:rPr>
          <w:sz w:val="18"/>
        </w:rPr>
      </w:pPr>
      <w:r>
        <w:rPr>
          <w:rFonts w:hint="eastAsia"/>
          <w:sz w:val="18"/>
        </w:rPr>
        <w:t>续表</w:t>
      </w:r>
    </w:p>
    <w:tbl>
      <w:tblPr>
        <w:tblStyle w:val="11"/>
        <w:tblW w:w="9360"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8"/>
        <w:gridCol w:w="842"/>
        <w:gridCol w:w="708"/>
        <w:gridCol w:w="567"/>
        <w:gridCol w:w="851"/>
        <w:gridCol w:w="850"/>
        <w:gridCol w:w="709"/>
        <w:gridCol w:w="803"/>
        <w:gridCol w:w="611"/>
        <w:gridCol w:w="829"/>
        <w:gridCol w:w="592"/>
        <w:gridCol w:w="567"/>
        <w:gridCol w:w="7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52" w:hRule="atLeast"/>
        </w:trPr>
        <w:tc>
          <w:tcPr>
            <w:tcW w:w="2268" w:type="dxa"/>
            <w:gridSpan w:val="3"/>
            <w:tcBorders>
              <w:tl2br w:val="nil"/>
              <w:tr2bl w:val="nil"/>
            </w:tcBorders>
            <w:vAlign w:val="center"/>
          </w:tcPr>
          <w:p>
            <w:pPr>
              <w:jc w:val="center"/>
              <w:rPr>
                <w:sz w:val="18"/>
              </w:rPr>
            </w:pPr>
            <w:r>
              <w:rPr>
                <w:rFonts w:hint="eastAsia"/>
                <w:sz w:val="18"/>
              </w:rPr>
              <w:t>入区企业投资额</w:t>
            </w:r>
          </w:p>
        </w:tc>
        <w:tc>
          <w:tcPr>
            <w:tcW w:w="1418" w:type="dxa"/>
            <w:gridSpan w:val="2"/>
            <w:tcBorders>
              <w:tl2br w:val="nil"/>
              <w:tr2bl w:val="nil"/>
            </w:tcBorders>
            <w:vAlign w:val="center"/>
          </w:tcPr>
          <w:p>
            <w:pPr>
              <w:jc w:val="center"/>
              <w:rPr>
                <w:sz w:val="18"/>
              </w:rPr>
            </w:pPr>
            <w:r>
              <w:rPr>
                <w:rFonts w:hint="eastAsia"/>
                <w:sz w:val="18"/>
              </w:rPr>
              <w:t>月末入区</w:t>
            </w:r>
          </w:p>
          <w:p>
            <w:pPr>
              <w:jc w:val="center"/>
              <w:rPr>
                <w:sz w:val="18"/>
              </w:rPr>
            </w:pPr>
            <w:r>
              <w:rPr>
                <w:rFonts w:hint="eastAsia"/>
                <w:sz w:val="18"/>
              </w:rPr>
              <w:t>企业个数</w:t>
            </w:r>
          </w:p>
        </w:tc>
        <w:tc>
          <w:tcPr>
            <w:tcW w:w="1559" w:type="dxa"/>
            <w:gridSpan w:val="2"/>
            <w:tcBorders>
              <w:tl2br w:val="nil"/>
              <w:tr2bl w:val="nil"/>
            </w:tcBorders>
            <w:vAlign w:val="center"/>
          </w:tcPr>
          <w:p>
            <w:pPr>
              <w:jc w:val="center"/>
              <w:rPr>
                <w:sz w:val="18"/>
              </w:rPr>
            </w:pPr>
            <w:r>
              <w:rPr>
                <w:rFonts w:hint="eastAsia"/>
                <w:sz w:val="18"/>
              </w:rPr>
              <w:t>带动国内货物</w:t>
            </w:r>
          </w:p>
          <w:p>
            <w:pPr>
              <w:jc w:val="center"/>
              <w:rPr>
                <w:sz w:val="18"/>
              </w:rPr>
            </w:pPr>
            <w:r>
              <w:rPr>
                <w:rFonts w:hint="eastAsia"/>
                <w:sz w:val="18"/>
              </w:rPr>
              <w:t>出口额</w:t>
            </w:r>
          </w:p>
        </w:tc>
        <w:tc>
          <w:tcPr>
            <w:tcW w:w="1414" w:type="dxa"/>
            <w:gridSpan w:val="2"/>
            <w:tcBorders>
              <w:tl2br w:val="nil"/>
              <w:tr2bl w:val="nil"/>
            </w:tcBorders>
            <w:vAlign w:val="center"/>
          </w:tcPr>
          <w:p>
            <w:pPr>
              <w:widowControl/>
              <w:jc w:val="center"/>
              <w:rPr>
                <w:sz w:val="18"/>
              </w:rPr>
            </w:pPr>
            <w:r>
              <w:rPr>
                <w:rFonts w:hint="eastAsia"/>
                <w:sz w:val="18"/>
              </w:rPr>
              <w:t>合作区总产值</w:t>
            </w:r>
          </w:p>
        </w:tc>
        <w:tc>
          <w:tcPr>
            <w:tcW w:w="1421" w:type="dxa"/>
            <w:gridSpan w:val="2"/>
            <w:tcBorders>
              <w:tl2br w:val="nil"/>
              <w:tr2bl w:val="nil"/>
            </w:tcBorders>
            <w:vAlign w:val="center"/>
          </w:tcPr>
          <w:p>
            <w:pPr>
              <w:widowControl/>
              <w:jc w:val="center"/>
              <w:rPr>
                <w:sz w:val="18"/>
              </w:rPr>
            </w:pPr>
            <w:r>
              <w:rPr>
                <w:rFonts w:hint="eastAsia"/>
                <w:sz w:val="18"/>
              </w:rPr>
              <w:t>上缴东道国</w:t>
            </w:r>
          </w:p>
          <w:p>
            <w:pPr>
              <w:widowControl/>
              <w:jc w:val="center"/>
              <w:rPr>
                <w:sz w:val="18"/>
              </w:rPr>
            </w:pPr>
            <w:r>
              <w:rPr>
                <w:rFonts w:hint="eastAsia"/>
                <w:sz w:val="18"/>
              </w:rPr>
              <w:t>各种税费总额</w:t>
            </w:r>
          </w:p>
        </w:tc>
        <w:tc>
          <w:tcPr>
            <w:tcW w:w="1280" w:type="dxa"/>
            <w:gridSpan w:val="2"/>
            <w:tcBorders>
              <w:tl2br w:val="nil"/>
              <w:tr2bl w:val="nil"/>
            </w:tcBorders>
            <w:vAlign w:val="center"/>
          </w:tcPr>
          <w:p>
            <w:pPr>
              <w:widowControl/>
              <w:jc w:val="center"/>
              <w:rPr>
                <w:sz w:val="18"/>
              </w:rPr>
            </w:pPr>
            <w:r>
              <w:rPr>
                <w:rFonts w:hint="eastAsia"/>
                <w:sz w:val="18"/>
              </w:rPr>
              <w:t>从业人员</w:t>
            </w:r>
          </w:p>
          <w:p>
            <w:pPr>
              <w:jc w:val="center"/>
              <w:rPr>
                <w:sz w:val="18"/>
              </w:rPr>
            </w:pPr>
            <w:r>
              <w:rPr>
                <w:rFonts w:hint="eastAsia"/>
                <w:sz w:val="18"/>
              </w:rPr>
              <w:t>期末人数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19" w:hRule="atLeast"/>
        </w:trPr>
        <w:tc>
          <w:tcPr>
            <w:tcW w:w="718" w:type="dxa"/>
            <w:vMerge w:val="restart"/>
            <w:tcBorders>
              <w:tl2br w:val="nil"/>
              <w:tr2bl w:val="nil"/>
            </w:tcBorders>
            <w:vAlign w:val="center"/>
          </w:tcPr>
          <w:p>
            <w:pPr>
              <w:jc w:val="center"/>
              <w:rPr>
                <w:sz w:val="18"/>
              </w:rPr>
            </w:pPr>
            <w:r>
              <w:rPr>
                <w:rFonts w:hint="eastAsia"/>
                <w:sz w:val="18"/>
              </w:rPr>
              <w:t>累计</w:t>
            </w:r>
          </w:p>
        </w:tc>
        <w:tc>
          <w:tcPr>
            <w:tcW w:w="1550" w:type="dxa"/>
            <w:gridSpan w:val="2"/>
            <w:tcBorders>
              <w:tl2br w:val="nil"/>
              <w:tr2bl w:val="nil"/>
            </w:tcBorders>
            <w:vAlign w:val="center"/>
          </w:tcPr>
          <w:p>
            <w:pPr>
              <w:jc w:val="center"/>
              <w:rPr>
                <w:sz w:val="18"/>
              </w:rPr>
            </w:pPr>
            <w:r>
              <w:rPr>
                <w:rFonts w:hint="eastAsia"/>
                <w:sz w:val="18"/>
              </w:rPr>
              <w:t>其中</w:t>
            </w:r>
          </w:p>
        </w:tc>
        <w:tc>
          <w:tcPr>
            <w:tcW w:w="567" w:type="dxa"/>
            <w:vMerge w:val="restart"/>
            <w:tcBorders>
              <w:tl2br w:val="nil"/>
              <w:tr2bl w:val="nil"/>
            </w:tcBorders>
            <w:vAlign w:val="center"/>
          </w:tcPr>
          <w:p>
            <w:pPr>
              <w:jc w:val="center"/>
              <w:rPr>
                <w:sz w:val="18"/>
              </w:rPr>
            </w:pPr>
            <w:r>
              <w:rPr>
                <w:rFonts w:hint="eastAsia"/>
                <w:sz w:val="18"/>
              </w:rPr>
              <w:t>合计</w:t>
            </w:r>
          </w:p>
        </w:tc>
        <w:tc>
          <w:tcPr>
            <w:tcW w:w="851" w:type="dxa"/>
            <w:vMerge w:val="restart"/>
            <w:tcBorders>
              <w:tl2br w:val="nil"/>
              <w:tr2bl w:val="nil"/>
            </w:tcBorders>
            <w:vAlign w:val="center"/>
          </w:tcPr>
          <w:p>
            <w:pPr>
              <w:jc w:val="center"/>
              <w:rPr>
                <w:sz w:val="18"/>
                <w:szCs w:val="18"/>
              </w:rPr>
            </w:pPr>
            <w:r>
              <w:rPr>
                <w:rFonts w:hint="eastAsia"/>
                <w:sz w:val="18"/>
                <w:szCs w:val="18"/>
              </w:rPr>
              <w:t>其中：中资控股企业</w:t>
            </w:r>
          </w:p>
        </w:tc>
        <w:tc>
          <w:tcPr>
            <w:tcW w:w="850"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w:t>
            </w:r>
          </w:p>
          <w:p>
            <w:pPr>
              <w:jc w:val="center"/>
              <w:rPr>
                <w:sz w:val="18"/>
              </w:rPr>
            </w:pPr>
            <w:r>
              <w:rPr>
                <w:rFonts w:hint="eastAsia"/>
                <w:sz w:val="18"/>
              </w:rPr>
              <w:t>累计</w:t>
            </w:r>
          </w:p>
        </w:tc>
        <w:tc>
          <w:tcPr>
            <w:tcW w:w="709" w:type="dxa"/>
            <w:vMerge w:val="restart"/>
            <w:tcBorders>
              <w:tl2br w:val="nil"/>
              <w:tr2bl w:val="nil"/>
            </w:tcBorders>
            <w:vAlign w:val="center"/>
          </w:tcPr>
          <w:p>
            <w:pPr>
              <w:jc w:val="center"/>
              <w:rPr>
                <w:sz w:val="18"/>
              </w:rPr>
            </w:pPr>
            <w:r>
              <w:rPr>
                <w:rFonts w:hint="eastAsia"/>
                <w:sz w:val="18"/>
              </w:rPr>
              <w:t>当月</w:t>
            </w:r>
          </w:p>
        </w:tc>
        <w:tc>
          <w:tcPr>
            <w:tcW w:w="803"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611" w:type="dxa"/>
            <w:vMerge w:val="restart"/>
            <w:tcBorders>
              <w:tl2br w:val="nil"/>
              <w:tr2bl w:val="nil"/>
            </w:tcBorders>
            <w:vAlign w:val="center"/>
          </w:tcPr>
          <w:p>
            <w:pPr>
              <w:jc w:val="center"/>
              <w:rPr>
                <w:sz w:val="18"/>
              </w:rPr>
            </w:pPr>
            <w:r>
              <w:rPr>
                <w:rFonts w:hint="eastAsia"/>
                <w:sz w:val="18"/>
              </w:rPr>
              <w:t>当月</w:t>
            </w:r>
          </w:p>
        </w:tc>
        <w:tc>
          <w:tcPr>
            <w:tcW w:w="829"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592" w:type="dxa"/>
            <w:vMerge w:val="restart"/>
            <w:tcBorders>
              <w:tl2br w:val="nil"/>
              <w:tr2bl w:val="nil"/>
            </w:tcBorders>
            <w:vAlign w:val="center"/>
          </w:tcPr>
          <w:p>
            <w:pPr>
              <w:jc w:val="center"/>
              <w:rPr>
                <w:sz w:val="18"/>
              </w:rPr>
            </w:pPr>
            <w:r>
              <w:rPr>
                <w:rFonts w:hint="eastAsia"/>
                <w:sz w:val="18"/>
              </w:rPr>
              <w:t>当月</w:t>
            </w:r>
          </w:p>
        </w:tc>
        <w:tc>
          <w:tcPr>
            <w:tcW w:w="567" w:type="dxa"/>
            <w:vMerge w:val="restart"/>
            <w:tcBorders>
              <w:tl2br w:val="nil"/>
              <w:tr2bl w:val="nil"/>
            </w:tcBorders>
            <w:vAlign w:val="center"/>
          </w:tcPr>
          <w:p>
            <w:pPr>
              <w:jc w:val="center"/>
              <w:rPr>
                <w:sz w:val="18"/>
              </w:rPr>
            </w:pPr>
            <w:r>
              <w:rPr>
                <w:rFonts w:hint="eastAsia"/>
                <w:sz w:val="18"/>
              </w:rPr>
              <w:t>合计</w:t>
            </w:r>
          </w:p>
        </w:tc>
        <w:tc>
          <w:tcPr>
            <w:tcW w:w="713" w:type="dxa"/>
            <w:vMerge w:val="restart"/>
            <w:tcBorders>
              <w:tl2br w:val="nil"/>
              <w:tr2bl w:val="nil"/>
            </w:tcBorders>
            <w:vAlign w:val="center"/>
          </w:tcPr>
          <w:p>
            <w:pPr>
              <w:jc w:val="center"/>
              <w:rPr>
                <w:sz w:val="18"/>
              </w:rPr>
            </w:pPr>
            <w:r>
              <w:rPr>
                <w:rFonts w:hint="eastAsia"/>
                <w:sz w:val="18"/>
              </w:rPr>
              <w:t>其中：</w:t>
            </w:r>
          </w:p>
          <w:p>
            <w:pPr>
              <w:jc w:val="center"/>
              <w:rPr>
                <w:sz w:val="18"/>
              </w:rPr>
            </w:pPr>
            <w:r>
              <w:rPr>
                <w:rFonts w:hint="eastAsia"/>
                <w:sz w:val="18"/>
              </w:rPr>
              <w:t>外籍人员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59" w:hRule="atLeast"/>
        </w:trPr>
        <w:tc>
          <w:tcPr>
            <w:tcW w:w="718" w:type="dxa"/>
            <w:vMerge w:val="continue"/>
            <w:tcBorders>
              <w:tl2br w:val="nil"/>
              <w:tr2bl w:val="nil"/>
            </w:tcBorders>
            <w:vAlign w:val="center"/>
          </w:tcPr>
          <w:p>
            <w:pPr>
              <w:widowControl/>
              <w:jc w:val="left"/>
              <w:rPr>
                <w:sz w:val="18"/>
              </w:rPr>
            </w:pPr>
          </w:p>
        </w:tc>
        <w:tc>
          <w:tcPr>
            <w:tcW w:w="842" w:type="dxa"/>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708" w:type="dxa"/>
            <w:tcBorders>
              <w:tl2br w:val="nil"/>
              <w:tr2bl w:val="nil"/>
            </w:tcBorders>
            <w:vAlign w:val="center"/>
          </w:tcPr>
          <w:p>
            <w:pPr>
              <w:jc w:val="center"/>
              <w:rPr>
                <w:sz w:val="18"/>
              </w:rPr>
            </w:pPr>
            <w:r>
              <w:rPr>
                <w:rFonts w:hint="eastAsia"/>
                <w:sz w:val="18"/>
              </w:rPr>
              <w:t>当月</w:t>
            </w:r>
          </w:p>
        </w:tc>
        <w:tc>
          <w:tcPr>
            <w:tcW w:w="567" w:type="dxa"/>
            <w:vMerge w:val="continue"/>
            <w:tcBorders>
              <w:tl2br w:val="nil"/>
              <w:tr2bl w:val="nil"/>
            </w:tcBorders>
            <w:vAlign w:val="center"/>
          </w:tcPr>
          <w:p>
            <w:pPr>
              <w:widowControl/>
              <w:jc w:val="left"/>
              <w:rPr>
                <w:sz w:val="18"/>
              </w:rPr>
            </w:pPr>
          </w:p>
        </w:tc>
        <w:tc>
          <w:tcPr>
            <w:tcW w:w="851" w:type="dxa"/>
            <w:vMerge w:val="continue"/>
            <w:tcBorders>
              <w:tl2br w:val="nil"/>
              <w:tr2bl w:val="nil"/>
            </w:tcBorders>
            <w:vAlign w:val="center"/>
          </w:tcPr>
          <w:p>
            <w:pPr>
              <w:widowControl/>
              <w:jc w:val="left"/>
              <w:rPr>
                <w:sz w:val="15"/>
                <w:szCs w:val="15"/>
              </w:rPr>
            </w:pPr>
          </w:p>
        </w:tc>
        <w:tc>
          <w:tcPr>
            <w:tcW w:w="850" w:type="dxa"/>
            <w:vMerge w:val="continue"/>
            <w:tcBorders>
              <w:tl2br w:val="nil"/>
              <w:tr2bl w:val="nil"/>
            </w:tcBorders>
            <w:vAlign w:val="center"/>
          </w:tcPr>
          <w:p>
            <w:pPr>
              <w:widowControl/>
              <w:jc w:val="left"/>
              <w:rPr>
                <w:sz w:val="18"/>
              </w:rPr>
            </w:pPr>
          </w:p>
        </w:tc>
        <w:tc>
          <w:tcPr>
            <w:tcW w:w="709" w:type="dxa"/>
            <w:vMerge w:val="continue"/>
            <w:tcBorders>
              <w:tl2br w:val="nil"/>
              <w:tr2bl w:val="nil"/>
            </w:tcBorders>
            <w:vAlign w:val="center"/>
          </w:tcPr>
          <w:p>
            <w:pPr>
              <w:widowControl/>
              <w:jc w:val="left"/>
              <w:rPr>
                <w:sz w:val="18"/>
              </w:rPr>
            </w:pPr>
          </w:p>
        </w:tc>
        <w:tc>
          <w:tcPr>
            <w:tcW w:w="803" w:type="dxa"/>
            <w:vMerge w:val="continue"/>
            <w:tcBorders>
              <w:tl2br w:val="nil"/>
              <w:tr2bl w:val="nil"/>
            </w:tcBorders>
            <w:vAlign w:val="center"/>
          </w:tcPr>
          <w:p>
            <w:pPr>
              <w:widowControl/>
              <w:jc w:val="left"/>
              <w:rPr>
                <w:sz w:val="18"/>
              </w:rPr>
            </w:pPr>
          </w:p>
        </w:tc>
        <w:tc>
          <w:tcPr>
            <w:tcW w:w="611" w:type="dxa"/>
            <w:vMerge w:val="continue"/>
            <w:tcBorders>
              <w:tl2br w:val="nil"/>
              <w:tr2bl w:val="nil"/>
            </w:tcBorders>
            <w:vAlign w:val="center"/>
          </w:tcPr>
          <w:p>
            <w:pPr>
              <w:widowControl/>
              <w:jc w:val="left"/>
              <w:rPr>
                <w:sz w:val="18"/>
              </w:rPr>
            </w:pPr>
          </w:p>
        </w:tc>
        <w:tc>
          <w:tcPr>
            <w:tcW w:w="829" w:type="dxa"/>
            <w:vMerge w:val="continue"/>
            <w:tcBorders>
              <w:tl2br w:val="nil"/>
              <w:tr2bl w:val="nil"/>
            </w:tcBorders>
            <w:vAlign w:val="center"/>
          </w:tcPr>
          <w:p>
            <w:pPr>
              <w:widowControl/>
              <w:jc w:val="left"/>
              <w:rPr>
                <w:sz w:val="18"/>
              </w:rPr>
            </w:pPr>
          </w:p>
        </w:tc>
        <w:tc>
          <w:tcPr>
            <w:tcW w:w="592" w:type="dxa"/>
            <w:vMerge w:val="continue"/>
            <w:tcBorders>
              <w:tl2br w:val="nil"/>
              <w:tr2bl w:val="nil"/>
            </w:tcBorders>
            <w:vAlign w:val="center"/>
          </w:tcPr>
          <w:p>
            <w:pPr>
              <w:widowControl/>
              <w:jc w:val="left"/>
              <w:rPr>
                <w:sz w:val="18"/>
              </w:rPr>
            </w:pPr>
          </w:p>
        </w:tc>
        <w:tc>
          <w:tcPr>
            <w:tcW w:w="567" w:type="dxa"/>
            <w:vMerge w:val="continue"/>
            <w:tcBorders>
              <w:tl2br w:val="nil"/>
              <w:tr2bl w:val="nil"/>
            </w:tcBorders>
            <w:vAlign w:val="center"/>
          </w:tcPr>
          <w:p>
            <w:pPr>
              <w:widowControl/>
              <w:jc w:val="left"/>
              <w:rPr>
                <w:sz w:val="18"/>
              </w:rPr>
            </w:pPr>
          </w:p>
        </w:tc>
        <w:tc>
          <w:tcPr>
            <w:tcW w:w="713" w:type="dxa"/>
            <w:vMerge w:val="continue"/>
            <w:tcBorders>
              <w:tl2br w:val="nil"/>
              <w:tr2bl w:val="nil"/>
            </w:tcBorders>
            <w:vAlign w:val="center"/>
          </w:tcPr>
          <w:p>
            <w:pPr>
              <w:widowControl/>
              <w:jc w:val="lef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3" w:hRule="atLeast"/>
        </w:trPr>
        <w:tc>
          <w:tcPr>
            <w:tcW w:w="718" w:type="dxa"/>
            <w:tcBorders>
              <w:tl2br w:val="nil"/>
              <w:tr2bl w:val="nil"/>
            </w:tcBorders>
            <w:vAlign w:val="center"/>
          </w:tcPr>
          <w:p>
            <w:pPr>
              <w:jc w:val="center"/>
              <w:rPr>
                <w:rFonts w:ascii="宋体" w:hAnsi="宋体"/>
                <w:sz w:val="18"/>
                <w:szCs w:val="18"/>
              </w:rPr>
            </w:pPr>
            <w:r>
              <w:rPr>
                <w:rFonts w:hint="eastAsia" w:ascii="宋体" w:hAnsi="宋体"/>
                <w:sz w:val="18"/>
                <w:szCs w:val="18"/>
              </w:rPr>
              <w:t>9</w:t>
            </w:r>
          </w:p>
        </w:tc>
        <w:tc>
          <w:tcPr>
            <w:tcW w:w="842" w:type="dxa"/>
            <w:tcBorders>
              <w:tl2br w:val="nil"/>
              <w:tr2bl w:val="nil"/>
            </w:tcBorders>
            <w:vAlign w:val="center"/>
          </w:tcPr>
          <w:p>
            <w:pPr>
              <w:jc w:val="center"/>
              <w:rPr>
                <w:rFonts w:ascii="宋体" w:hAnsi="宋体"/>
                <w:sz w:val="18"/>
                <w:szCs w:val="18"/>
              </w:rPr>
            </w:pPr>
            <w:r>
              <w:rPr>
                <w:rFonts w:hint="eastAsia" w:ascii="宋体" w:hAnsi="宋体"/>
                <w:sz w:val="18"/>
                <w:szCs w:val="18"/>
              </w:rPr>
              <w:t>10</w:t>
            </w:r>
          </w:p>
        </w:tc>
        <w:tc>
          <w:tcPr>
            <w:tcW w:w="708" w:type="dxa"/>
            <w:tcBorders>
              <w:tl2br w:val="nil"/>
              <w:tr2bl w:val="nil"/>
            </w:tcBorders>
            <w:vAlign w:val="center"/>
          </w:tcPr>
          <w:p>
            <w:pPr>
              <w:jc w:val="center"/>
              <w:rPr>
                <w:rFonts w:ascii="宋体" w:hAnsi="宋体"/>
                <w:sz w:val="18"/>
                <w:szCs w:val="18"/>
              </w:rPr>
            </w:pPr>
            <w:r>
              <w:rPr>
                <w:rFonts w:hint="eastAsia" w:ascii="宋体" w:hAnsi="宋体"/>
                <w:sz w:val="18"/>
                <w:szCs w:val="18"/>
              </w:rPr>
              <w:t>11</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12</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13</w:t>
            </w:r>
          </w:p>
        </w:tc>
        <w:tc>
          <w:tcPr>
            <w:tcW w:w="850" w:type="dxa"/>
            <w:tcBorders>
              <w:tl2br w:val="nil"/>
              <w:tr2bl w:val="nil"/>
            </w:tcBorders>
            <w:vAlign w:val="center"/>
          </w:tcPr>
          <w:p>
            <w:pPr>
              <w:jc w:val="center"/>
              <w:rPr>
                <w:rFonts w:ascii="宋体" w:hAnsi="宋体"/>
                <w:sz w:val="18"/>
                <w:szCs w:val="18"/>
              </w:rPr>
            </w:pPr>
            <w:r>
              <w:rPr>
                <w:rFonts w:hint="eastAsia" w:ascii="宋体" w:hAnsi="宋体"/>
                <w:sz w:val="18"/>
                <w:szCs w:val="18"/>
              </w:rPr>
              <w:t>14</w:t>
            </w:r>
          </w:p>
        </w:tc>
        <w:tc>
          <w:tcPr>
            <w:tcW w:w="709" w:type="dxa"/>
            <w:tcBorders>
              <w:tl2br w:val="nil"/>
              <w:tr2bl w:val="nil"/>
            </w:tcBorders>
            <w:vAlign w:val="center"/>
          </w:tcPr>
          <w:p>
            <w:pPr>
              <w:jc w:val="center"/>
              <w:rPr>
                <w:rFonts w:ascii="宋体" w:hAnsi="宋体"/>
                <w:sz w:val="18"/>
                <w:szCs w:val="18"/>
              </w:rPr>
            </w:pPr>
            <w:r>
              <w:rPr>
                <w:rFonts w:hint="eastAsia" w:ascii="宋体" w:hAnsi="宋体"/>
                <w:sz w:val="18"/>
                <w:szCs w:val="18"/>
              </w:rPr>
              <w:t>15</w:t>
            </w:r>
          </w:p>
        </w:tc>
        <w:tc>
          <w:tcPr>
            <w:tcW w:w="803" w:type="dxa"/>
            <w:tcBorders>
              <w:tl2br w:val="nil"/>
              <w:tr2bl w:val="nil"/>
            </w:tcBorders>
            <w:vAlign w:val="center"/>
          </w:tcPr>
          <w:p>
            <w:pPr>
              <w:jc w:val="center"/>
              <w:rPr>
                <w:rFonts w:ascii="宋体" w:hAnsi="宋体"/>
                <w:sz w:val="18"/>
                <w:szCs w:val="18"/>
              </w:rPr>
            </w:pPr>
            <w:r>
              <w:rPr>
                <w:rFonts w:hint="eastAsia" w:ascii="宋体" w:hAnsi="宋体"/>
                <w:sz w:val="18"/>
                <w:szCs w:val="18"/>
              </w:rPr>
              <w:t>16</w:t>
            </w:r>
          </w:p>
        </w:tc>
        <w:tc>
          <w:tcPr>
            <w:tcW w:w="611" w:type="dxa"/>
            <w:tcBorders>
              <w:tl2br w:val="nil"/>
              <w:tr2bl w:val="nil"/>
            </w:tcBorders>
            <w:vAlign w:val="center"/>
          </w:tcPr>
          <w:p>
            <w:pPr>
              <w:jc w:val="center"/>
              <w:rPr>
                <w:rFonts w:ascii="宋体" w:hAnsi="宋体"/>
                <w:sz w:val="18"/>
                <w:szCs w:val="18"/>
              </w:rPr>
            </w:pPr>
            <w:r>
              <w:rPr>
                <w:rFonts w:hint="eastAsia" w:ascii="宋体" w:hAnsi="宋体"/>
                <w:sz w:val="18"/>
                <w:szCs w:val="18"/>
              </w:rPr>
              <w:t>17</w:t>
            </w:r>
          </w:p>
        </w:tc>
        <w:tc>
          <w:tcPr>
            <w:tcW w:w="829" w:type="dxa"/>
            <w:tcBorders>
              <w:tl2br w:val="nil"/>
              <w:tr2bl w:val="nil"/>
            </w:tcBorders>
            <w:vAlign w:val="center"/>
          </w:tcPr>
          <w:p>
            <w:pPr>
              <w:jc w:val="center"/>
              <w:rPr>
                <w:rFonts w:ascii="宋体" w:hAnsi="宋体"/>
                <w:sz w:val="18"/>
                <w:szCs w:val="18"/>
              </w:rPr>
            </w:pPr>
            <w:r>
              <w:rPr>
                <w:rFonts w:hint="eastAsia" w:ascii="宋体" w:hAnsi="宋体"/>
                <w:sz w:val="18"/>
                <w:szCs w:val="18"/>
              </w:rPr>
              <w:t>18</w:t>
            </w:r>
          </w:p>
        </w:tc>
        <w:tc>
          <w:tcPr>
            <w:tcW w:w="592" w:type="dxa"/>
            <w:tcBorders>
              <w:tl2br w:val="nil"/>
              <w:tr2bl w:val="nil"/>
            </w:tcBorders>
            <w:vAlign w:val="center"/>
          </w:tcPr>
          <w:p>
            <w:pPr>
              <w:jc w:val="center"/>
              <w:rPr>
                <w:rFonts w:ascii="宋体" w:hAnsi="宋体"/>
                <w:sz w:val="18"/>
                <w:szCs w:val="18"/>
              </w:rPr>
            </w:pPr>
            <w:r>
              <w:rPr>
                <w:rFonts w:hint="eastAsia" w:ascii="宋体" w:hAnsi="宋体"/>
                <w:sz w:val="18"/>
                <w:szCs w:val="18"/>
              </w:rPr>
              <w:t>19</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20</w:t>
            </w:r>
          </w:p>
        </w:tc>
        <w:tc>
          <w:tcPr>
            <w:tcW w:w="713" w:type="dxa"/>
            <w:tcBorders>
              <w:tl2br w:val="nil"/>
              <w:tr2bl w:val="nil"/>
            </w:tcBorders>
            <w:vAlign w:val="center"/>
          </w:tcPr>
          <w:p>
            <w:pPr>
              <w:jc w:val="center"/>
              <w:rPr>
                <w:rFonts w:ascii="宋体" w:hAnsi="宋体"/>
                <w:sz w:val="18"/>
                <w:szCs w:val="18"/>
              </w:rPr>
            </w:pPr>
            <w:r>
              <w:rPr>
                <w:rFonts w:hint="eastAsia" w:ascii="宋体" w:hAnsi="宋体"/>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9360" w:type="dxa"/>
            <w:gridSpan w:val="13"/>
            <w:tcBorders>
              <w:tl2br w:val="nil"/>
              <w:tr2bl w:val="nil"/>
            </w:tcBorders>
            <w:vAlign w:val="center"/>
          </w:tcPr>
          <w:p>
            <w:pPr>
              <w:jc w:val="center"/>
              <w:rPr>
                <w:sz w:val="18"/>
              </w:rPr>
            </w:pPr>
          </w:p>
        </w:tc>
      </w:tr>
    </w:tbl>
    <w:p>
      <w:r>
        <w:rPr>
          <w:rFonts w:hint="eastAsia" w:ascii="宋体" w:hAnsi="宋体"/>
          <w:sz w:val="18"/>
        </w:rPr>
        <w:t>填报人：　　　　　　单位负责人：　　　　　　　　　联系电话：　　　　　　　　　报出日期：</w:t>
      </w:r>
    </w:p>
    <w:p>
      <w:pPr>
        <w:spacing w:line="220" w:lineRule="exact"/>
        <w:rPr>
          <w:rFonts w:ascii="宋体" w:hAnsi="宋体"/>
          <w:sz w:val="18"/>
          <w:szCs w:val="18"/>
        </w:rPr>
      </w:pPr>
      <w:r>
        <w:rPr>
          <w:rFonts w:hint="eastAsia" w:ascii="宋体" w:hAnsi="宋体"/>
          <w:sz w:val="18"/>
          <w:szCs w:val="18"/>
        </w:rPr>
        <w:t>说明：1.本表综合反映报告期我国境外经济贸易合作区建设的基本情况，由纳入商务部境外经贸合作区统计名录的实施企业进行填报。本表要求实施企业于月后10日前报省级商务主管部门或商务部。</w:t>
      </w:r>
    </w:p>
    <w:p>
      <w:pPr>
        <w:spacing w:line="220" w:lineRule="exact"/>
        <w:ind w:firstLine="547" w:firstLineChars="304"/>
        <w:rPr>
          <w:rFonts w:ascii="宋体" w:hAnsi="宋体"/>
          <w:sz w:val="18"/>
          <w:szCs w:val="18"/>
        </w:rPr>
      </w:pPr>
      <w:r>
        <w:rPr>
          <w:rFonts w:hint="eastAsia" w:ascii="宋体" w:hAnsi="宋体"/>
          <w:sz w:val="18"/>
          <w:szCs w:val="18"/>
        </w:rPr>
        <w:t>2.所在国家(地区)及设立时间：指合作区所在的国家(地区)以及合作区实施企业在境外设立建区企业的注册时间。</w:t>
      </w:r>
    </w:p>
    <w:p>
      <w:pPr>
        <w:spacing w:line="220" w:lineRule="exact"/>
        <w:ind w:firstLine="529" w:firstLineChars="294"/>
        <w:rPr>
          <w:rFonts w:ascii="宋体" w:hAnsi="宋体"/>
          <w:sz w:val="18"/>
          <w:szCs w:val="18"/>
        </w:rPr>
      </w:pPr>
      <w:r>
        <w:rPr>
          <w:rFonts w:hint="eastAsia" w:ascii="宋体" w:hAnsi="宋体"/>
          <w:sz w:val="18"/>
          <w:szCs w:val="18"/>
        </w:rPr>
        <w:t>3.合作区类型：根据合作区内业务开展的不同，将合作区分为六大类型：加工制造型、资源利用型、农业产业型、商贸物流型、科技研发型和其他类型（详见“主要指标解释及概念界定”）。</w:t>
      </w:r>
    </w:p>
    <w:p>
      <w:pPr>
        <w:spacing w:line="220" w:lineRule="exact"/>
        <w:ind w:firstLine="529" w:firstLineChars="294"/>
        <w:rPr>
          <w:rFonts w:ascii="宋体" w:hAnsi="宋体"/>
          <w:sz w:val="18"/>
          <w:szCs w:val="18"/>
        </w:rPr>
      </w:pPr>
      <w:r>
        <w:rPr>
          <w:rFonts w:hint="eastAsia" w:ascii="宋体" w:hAnsi="宋体"/>
          <w:sz w:val="18"/>
          <w:szCs w:val="18"/>
        </w:rPr>
        <w:t>4.建区企业：指合作区实施企业在合作区所在国独资或与外方合资设立的从事合作区开发、建设和运营的企业。</w:t>
      </w:r>
    </w:p>
    <w:p>
      <w:pPr>
        <w:spacing w:line="220" w:lineRule="exact"/>
        <w:ind w:firstLine="529" w:firstLineChars="294"/>
        <w:rPr>
          <w:rFonts w:ascii="宋体" w:hAnsi="宋体"/>
          <w:sz w:val="18"/>
          <w:szCs w:val="18"/>
        </w:rPr>
      </w:pPr>
      <w:r>
        <w:rPr>
          <w:rFonts w:hint="eastAsia" w:ascii="宋体" w:hAnsi="宋体"/>
          <w:sz w:val="18"/>
          <w:szCs w:val="18"/>
        </w:rPr>
        <w:t>5.建区企业投资额：指建区企业报告期（累计、当年、当月）为完成合作区建设所投入的所有资金总额，包括通过各种融资渠道（含自有资金、境内外银行贷款等）投入的资金总额。</w:t>
      </w:r>
    </w:p>
    <w:p>
      <w:pPr>
        <w:spacing w:line="220" w:lineRule="exact"/>
        <w:ind w:firstLine="529" w:firstLineChars="294"/>
        <w:rPr>
          <w:rFonts w:ascii="宋体" w:hAnsi="宋体"/>
          <w:sz w:val="18"/>
          <w:szCs w:val="18"/>
        </w:rPr>
      </w:pPr>
      <w:r>
        <w:rPr>
          <w:rFonts w:hint="eastAsia" w:ascii="宋体" w:hAnsi="宋体"/>
          <w:sz w:val="18"/>
          <w:szCs w:val="18"/>
        </w:rPr>
        <w:t>6.</w:t>
      </w:r>
      <w:r>
        <w:rPr>
          <w:rFonts w:hint="eastAsia"/>
          <w:sz w:val="18"/>
        </w:rPr>
        <w:t>建区企业基础设施建设投资额：指建区企业</w:t>
      </w:r>
      <w:r>
        <w:rPr>
          <w:rFonts w:hint="eastAsia" w:ascii="宋体" w:hAnsi="宋体"/>
          <w:sz w:val="18"/>
          <w:szCs w:val="18"/>
        </w:rPr>
        <w:t>报告期（累计、当年、当月）</w:t>
      </w:r>
      <w:r>
        <w:rPr>
          <w:rFonts w:hint="eastAsia"/>
          <w:sz w:val="18"/>
        </w:rPr>
        <w:t>用于合作区基础设施建设的费用，包括：区内建设用地的购置费或租赁费、办公场所的购建费；区内土地平整、水、电、气、道路、通讯、热力和污水处理等基础设施建设费；为入区企业提供公共服务的配套用房建设费。该项投资额属于建区企业投资额的一部分。</w:t>
      </w:r>
    </w:p>
    <w:p>
      <w:pPr>
        <w:spacing w:line="220" w:lineRule="exact"/>
        <w:ind w:firstLine="529" w:firstLineChars="294"/>
        <w:rPr>
          <w:rFonts w:ascii="宋体" w:hAnsi="宋体"/>
          <w:sz w:val="18"/>
          <w:szCs w:val="18"/>
        </w:rPr>
      </w:pPr>
      <w:r>
        <w:rPr>
          <w:rFonts w:hint="eastAsia" w:ascii="宋体" w:hAnsi="宋体"/>
          <w:sz w:val="18"/>
          <w:szCs w:val="18"/>
        </w:rPr>
        <w:t>7.现有合作区面积：已取得完备法律手续的土地面积。</w:t>
      </w:r>
    </w:p>
    <w:p>
      <w:pPr>
        <w:spacing w:line="220" w:lineRule="exact"/>
        <w:ind w:firstLine="529" w:firstLineChars="294"/>
        <w:rPr>
          <w:rFonts w:ascii="宋体" w:hAnsi="宋体"/>
          <w:sz w:val="18"/>
          <w:szCs w:val="18"/>
        </w:rPr>
      </w:pPr>
      <w:r>
        <w:rPr>
          <w:rFonts w:hint="eastAsia" w:ascii="宋体" w:hAnsi="宋体"/>
          <w:sz w:val="18"/>
          <w:szCs w:val="18"/>
        </w:rPr>
        <w:t>8.合作区土地使用年限：已取得完备法律手续的土地使用年限。</w:t>
      </w:r>
    </w:p>
    <w:p>
      <w:pPr>
        <w:spacing w:line="220" w:lineRule="exact"/>
        <w:ind w:firstLine="529" w:firstLineChars="294"/>
        <w:rPr>
          <w:rFonts w:ascii="宋体" w:hAnsi="宋体"/>
          <w:sz w:val="18"/>
          <w:szCs w:val="18"/>
        </w:rPr>
      </w:pPr>
      <w:r>
        <w:rPr>
          <w:rFonts w:hint="eastAsia" w:ascii="宋体" w:hAnsi="宋体"/>
          <w:sz w:val="18"/>
          <w:szCs w:val="18"/>
        </w:rPr>
        <w:t>9.入区企业数量及投资额：入区企业数量是指在合作区当地完成各种登记注册手续、已与合作区建区企业签署入区协议并在合作区内已开展建设或运营的法人单位的数量；入区企业投资额指入区企业报告期（累计、当年、当月）在合作区内所投入的所有资金总额，包括通过各种融资渠道（含自有资金、境内外银行贷款等）投入的资金总额。</w:t>
      </w:r>
    </w:p>
    <w:p>
      <w:pPr>
        <w:spacing w:line="220" w:lineRule="exact"/>
        <w:ind w:firstLine="529" w:firstLineChars="294"/>
        <w:rPr>
          <w:rFonts w:ascii="宋体" w:hAnsi="宋体"/>
          <w:sz w:val="18"/>
          <w:szCs w:val="18"/>
        </w:rPr>
      </w:pPr>
      <w:r>
        <w:rPr>
          <w:rFonts w:hint="eastAsia" w:ascii="宋体" w:hAnsi="宋体"/>
          <w:sz w:val="18"/>
          <w:szCs w:val="18"/>
        </w:rPr>
        <w:t>10.中资控股企业：指中国内地投资者股份占51%及以上的合资企业。</w:t>
      </w:r>
    </w:p>
    <w:p>
      <w:pPr>
        <w:spacing w:line="220" w:lineRule="exact"/>
        <w:ind w:firstLine="529" w:firstLineChars="294"/>
        <w:rPr>
          <w:rFonts w:ascii="宋体" w:hAnsi="宋体"/>
          <w:sz w:val="18"/>
          <w:szCs w:val="18"/>
        </w:rPr>
      </w:pPr>
      <w:r>
        <w:rPr>
          <w:rFonts w:hint="eastAsia" w:ascii="宋体" w:hAnsi="宋体"/>
          <w:sz w:val="18"/>
          <w:szCs w:val="18"/>
        </w:rPr>
        <w:t>11.带动国内货物出口额：指合作区入区企业在生产经营活动中从中国大陆进口所有货物的总值。</w:t>
      </w:r>
    </w:p>
    <w:p>
      <w:pPr>
        <w:spacing w:line="220" w:lineRule="exact"/>
        <w:ind w:firstLine="529" w:firstLineChars="294"/>
        <w:rPr>
          <w:rFonts w:ascii="宋体" w:hAnsi="宋体"/>
          <w:sz w:val="18"/>
          <w:szCs w:val="18"/>
        </w:rPr>
      </w:pPr>
      <w:r>
        <w:rPr>
          <w:rFonts w:hint="eastAsia" w:ascii="宋体" w:hAnsi="宋体"/>
          <w:sz w:val="18"/>
          <w:szCs w:val="18"/>
        </w:rPr>
        <w:t>12.合作区总产值：指合作区建区企业和入区企业以货币表现的全部产品（货物和服务）总量，是反映合作区总体发展规模指标，包括生产的已出售或可供出售的工业产品产值、提供的服务业产值等。</w:t>
      </w:r>
    </w:p>
    <w:p>
      <w:pPr>
        <w:spacing w:line="220" w:lineRule="exact"/>
        <w:ind w:firstLine="529" w:firstLineChars="294"/>
        <w:rPr>
          <w:rFonts w:ascii="宋体" w:hAnsi="宋体"/>
          <w:sz w:val="18"/>
          <w:szCs w:val="18"/>
        </w:rPr>
      </w:pPr>
      <w:r>
        <w:rPr>
          <w:rFonts w:hint="eastAsia" w:ascii="宋体" w:hAnsi="宋体"/>
          <w:sz w:val="18"/>
          <w:szCs w:val="18"/>
        </w:rPr>
        <w:t>13.上缴东道国各种税费总额：指报告期在合作区内有生产经营活动的企业（包括建区企业和入区企业）根据东道国各级政府规定所上缴的各项税金和费用总和。</w:t>
      </w:r>
    </w:p>
    <w:p>
      <w:pPr>
        <w:jc w:val="center"/>
        <w:rPr>
          <w:rFonts w:ascii="宋体" w:hAnsi="宋体"/>
          <w:b/>
          <w:bCs/>
          <w:sz w:val="32"/>
        </w:rPr>
      </w:pPr>
      <w:r>
        <w:rPr>
          <w:rFonts w:hint="eastAsia" w:ascii="宋体" w:hAnsi="宋体"/>
          <w:b/>
          <w:bCs/>
          <w:sz w:val="32"/>
        </w:rPr>
        <w:t>境外企业再投资月度情况</w:t>
      </w:r>
    </w:p>
    <w:tbl>
      <w:tblPr>
        <w:tblStyle w:val="11"/>
        <w:tblW w:w="9270" w:type="dxa"/>
        <w:tblInd w:w="0" w:type="dxa"/>
        <w:tblLayout w:type="fixed"/>
        <w:tblCellMar>
          <w:top w:w="0" w:type="dxa"/>
          <w:left w:w="108" w:type="dxa"/>
          <w:bottom w:w="0" w:type="dxa"/>
          <w:right w:w="108" w:type="dxa"/>
        </w:tblCellMar>
      </w:tblPr>
      <w:tblGrid>
        <w:gridCol w:w="2093"/>
        <w:gridCol w:w="942"/>
        <w:gridCol w:w="1125"/>
        <w:gridCol w:w="765"/>
        <w:gridCol w:w="879"/>
        <w:gridCol w:w="647"/>
        <w:gridCol w:w="634"/>
        <w:gridCol w:w="851"/>
        <w:gridCol w:w="647"/>
        <w:gridCol w:w="687"/>
      </w:tblGrid>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FDIY6表</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451"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2819"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2093" w:type="dxa"/>
            <w:vMerge w:val="restart"/>
            <w:tcBorders>
              <w:top w:val="single" w:color="auto" w:sz="8" w:space="0"/>
              <w:left w:val="nil"/>
              <w:bottom w:val="single" w:color="auto" w:sz="2" w:space="0"/>
              <w:right w:val="single" w:color="auto" w:sz="2" w:space="0"/>
              <w:tl2br w:val="single" w:color="auto" w:sz="2" w:space="0"/>
            </w:tcBorders>
          </w:tcPr>
          <w:p>
            <w:pPr>
              <w:pStyle w:val="16"/>
              <w:rPr>
                <w:rFonts w:ascii="宋体" w:hAnsi="宋体" w:eastAsia="宋体"/>
                <w:b w:val="0"/>
                <w:sz w:val="18"/>
              </w:rPr>
            </w:pPr>
            <w:r>
              <w:rPr>
                <w:rFonts w:hint="eastAsia" w:ascii="宋体" w:hAnsi="宋体" w:eastAsia="宋体"/>
                <w:b w:val="0"/>
                <w:sz w:val="18"/>
              </w:rPr>
              <w:t xml:space="preserve">                     </w:t>
            </w:r>
          </w:p>
          <w:p>
            <w:pPr>
              <w:pStyle w:val="16"/>
              <w:ind w:firstLine="878" w:firstLineChars="488"/>
              <w:rPr>
                <w:rFonts w:ascii="宋体" w:hAnsi="宋体" w:eastAsia="宋体"/>
                <w:b w:val="0"/>
                <w:sz w:val="18"/>
              </w:rPr>
            </w:pPr>
            <w:r>
              <w:rPr>
                <w:rFonts w:hint="eastAsia" w:ascii="宋体" w:hAnsi="宋体" w:eastAsia="宋体"/>
                <w:b w:val="0"/>
                <w:sz w:val="18"/>
              </w:rPr>
              <w:t>指标</w:t>
            </w:r>
          </w:p>
          <w:p>
            <w:pPr>
              <w:pStyle w:val="16"/>
              <w:rPr>
                <w:rFonts w:ascii="宋体" w:hAnsi="宋体" w:eastAsia="宋体"/>
                <w:b w:val="0"/>
                <w:sz w:val="18"/>
              </w:rPr>
            </w:pPr>
          </w:p>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再投资企业或</w:t>
            </w:r>
          </w:p>
          <w:p>
            <w:pPr>
              <w:pStyle w:val="16"/>
              <w:rPr>
                <w:rFonts w:ascii="宋体" w:hAnsi="宋体" w:eastAsia="宋体"/>
                <w:b w:val="0"/>
                <w:sz w:val="18"/>
              </w:rPr>
            </w:pPr>
            <w:r>
              <w:rPr>
                <w:rFonts w:hint="eastAsia" w:ascii="宋体" w:hAnsi="宋体" w:eastAsia="宋体"/>
                <w:b w:val="0"/>
                <w:sz w:val="18"/>
              </w:rPr>
              <w:t>项目名称</w:t>
            </w:r>
          </w:p>
        </w:tc>
        <w:tc>
          <w:tcPr>
            <w:tcW w:w="942"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再投资最终投向的国家地区</w:t>
            </w:r>
          </w:p>
        </w:tc>
        <w:tc>
          <w:tcPr>
            <w:tcW w:w="1125"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再投资最终投向的企业或项目的行业类别</w:t>
            </w:r>
          </w:p>
        </w:tc>
        <w:tc>
          <w:tcPr>
            <w:tcW w:w="765" w:type="dxa"/>
            <w:vMerge w:val="restart"/>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中方持股比例（%）</w:t>
            </w:r>
          </w:p>
        </w:tc>
        <w:tc>
          <w:tcPr>
            <w:tcW w:w="2160" w:type="dxa"/>
            <w:gridSpan w:val="3"/>
            <w:tcBorders>
              <w:top w:val="single" w:color="auto" w:sz="8"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当月再投资额</w:t>
            </w:r>
          </w:p>
        </w:tc>
        <w:tc>
          <w:tcPr>
            <w:tcW w:w="2185" w:type="dxa"/>
            <w:gridSpan w:val="3"/>
            <w:tcBorders>
              <w:top w:val="single" w:color="auto" w:sz="8" w:space="0"/>
              <w:left w:val="single" w:color="auto" w:sz="2" w:space="0"/>
              <w:bottom w:val="single" w:color="auto" w:sz="2" w:space="0"/>
              <w:right w:val="nil"/>
            </w:tcBorders>
            <w:vAlign w:val="center"/>
          </w:tcPr>
          <w:p>
            <w:pPr>
              <w:pStyle w:val="16"/>
              <w:jc w:val="center"/>
              <w:rPr>
                <w:rFonts w:ascii="宋体" w:hAnsi="宋体" w:eastAsia="宋体"/>
                <w:b w:val="0"/>
                <w:sz w:val="18"/>
              </w:rPr>
            </w:pPr>
            <w:r>
              <w:rPr>
                <w:rFonts w:hint="eastAsia" w:ascii="宋体" w:hAnsi="宋体" w:eastAsia="宋体"/>
                <w:b w:val="0"/>
                <w:sz w:val="18"/>
              </w:rPr>
              <w:t>1-本月累计再投资额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93" w:type="dxa"/>
            <w:vMerge w:val="continue"/>
            <w:tcBorders>
              <w:top w:val="single" w:color="auto" w:sz="2" w:space="0"/>
              <w:left w:val="nil"/>
              <w:bottom w:val="single" w:color="auto" w:sz="2" w:space="0"/>
              <w:right w:val="single" w:color="auto" w:sz="4" w:space="0"/>
              <w:tl2br w:val="single" w:color="auto" w:sz="4" w:space="0"/>
            </w:tcBorders>
            <w:vAlign w:val="center"/>
          </w:tcPr>
          <w:p>
            <w:pPr>
              <w:widowControl/>
              <w:jc w:val="left"/>
              <w:rPr>
                <w:rFonts w:ascii="宋体" w:hAnsi="宋体"/>
                <w:sz w:val="18"/>
              </w:rPr>
            </w:pPr>
          </w:p>
        </w:tc>
        <w:tc>
          <w:tcPr>
            <w:tcW w:w="942"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1125"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65" w:type="dxa"/>
            <w:vMerge w:val="continue"/>
            <w:tcBorders>
              <w:top w:val="single" w:color="auto" w:sz="2" w:space="0"/>
              <w:left w:val="single" w:color="auto" w:sz="4" w:space="0"/>
              <w:bottom w:val="single" w:color="auto" w:sz="2" w:space="0"/>
              <w:right w:val="single" w:color="auto" w:sz="4" w:space="0"/>
            </w:tcBorders>
          </w:tcPr>
          <w:p>
            <w:pPr>
              <w:widowControl/>
              <w:jc w:val="left"/>
              <w:rPr>
                <w:rFonts w:ascii="宋体" w:hAnsi="宋体"/>
                <w:sz w:val="18"/>
              </w:rPr>
            </w:pPr>
          </w:p>
        </w:tc>
        <w:tc>
          <w:tcPr>
            <w:tcW w:w="879" w:type="dxa"/>
            <w:tcBorders>
              <w:top w:val="single" w:color="auto" w:sz="2" w:space="0"/>
              <w:left w:val="single" w:color="auto" w:sz="4" w:space="0"/>
              <w:bottom w:val="single" w:color="auto" w:sz="2" w:space="0"/>
              <w:right w:val="single" w:color="auto" w:sz="4" w:space="0"/>
            </w:tcBorders>
            <w:vAlign w:val="center"/>
          </w:tcPr>
          <w:p>
            <w:pPr>
              <w:pStyle w:val="16"/>
              <w:jc w:val="center"/>
              <w:rPr>
                <w:rFonts w:ascii="黑体" w:hAnsi="宋体" w:eastAsia="黑体"/>
                <w:b w:val="0"/>
                <w:sz w:val="18"/>
              </w:rPr>
            </w:pPr>
            <w:r>
              <w:rPr>
                <w:rFonts w:hint="eastAsia" w:ascii="黑体" w:hAnsi="宋体" w:eastAsia="黑体"/>
                <w:b w:val="0"/>
                <w:sz w:val="18"/>
              </w:rPr>
              <w:t>合计</w:t>
            </w:r>
          </w:p>
        </w:tc>
        <w:tc>
          <w:tcPr>
            <w:tcW w:w="647"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34"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境外出资</w:t>
            </w:r>
          </w:p>
        </w:tc>
        <w:tc>
          <w:tcPr>
            <w:tcW w:w="851" w:type="dxa"/>
            <w:tcBorders>
              <w:top w:val="single" w:color="auto" w:sz="2" w:space="0"/>
              <w:left w:val="single" w:color="auto" w:sz="4" w:space="0"/>
              <w:bottom w:val="single" w:color="auto" w:sz="2" w:space="0"/>
              <w:right w:val="single" w:color="auto" w:sz="2" w:space="0"/>
            </w:tcBorders>
            <w:vAlign w:val="center"/>
          </w:tcPr>
          <w:p>
            <w:pPr>
              <w:pStyle w:val="16"/>
              <w:jc w:val="center"/>
              <w:rPr>
                <w:rFonts w:ascii="黑体" w:hAnsi="宋体" w:eastAsia="黑体"/>
                <w:b w:val="0"/>
                <w:sz w:val="18"/>
              </w:rPr>
            </w:pPr>
            <w:r>
              <w:rPr>
                <w:rFonts w:hint="eastAsia" w:ascii="黑体" w:hAnsi="宋体" w:eastAsia="黑体"/>
                <w:b w:val="0"/>
                <w:sz w:val="18"/>
              </w:rPr>
              <w:t>合计</w:t>
            </w:r>
          </w:p>
        </w:tc>
        <w:tc>
          <w:tcPr>
            <w:tcW w:w="647" w:type="dxa"/>
            <w:tcBorders>
              <w:top w:val="single" w:color="auto" w:sz="2" w:space="0"/>
              <w:left w:val="single" w:color="auto" w:sz="2"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87" w:type="dxa"/>
            <w:tcBorders>
              <w:top w:val="single" w:color="auto" w:sz="2" w:space="0"/>
              <w:left w:val="single" w:color="auto" w:sz="4" w:space="0"/>
              <w:bottom w:val="single" w:color="auto" w:sz="2" w:space="0"/>
              <w:right w:val="nil"/>
            </w:tcBorders>
            <w:vAlign w:val="center"/>
          </w:tcPr>
          <w:p>
            <w:pPr>
              <w:widowControl/>
              <w:jc w:val="center"/>
              <w:rPr>
                <w:rFonts w:ascii="宋体" w:hAnsi="宋体"/>
                <w:sz w:val="18"/>
              </w:rPr>
            </w:pPr>
            <w:r>
              <w:rPr>
                <w:rFonts w:hint="eastAsia" w:ascii="宋体" w:hAnsi="宋体"/>
                <w:sz w:val="18"/>
              </w:rPr>
              <w:t>境外</w:t>
            </w:r>
          </w:p>
          <w:p>
            <w:pPr>
              <w:widowControl/>
              <w:jc w:val="center"/>
              <w:rPr>
                <w:rFonts w:ascii="宋体" w:hAnsi="宋体"/>
                <w:sz w:val="18"/>
              </w:rPr>
            </w:pPr>
            <w:r>
              <w:rPr>
                <w:rFonts w:hint="eastAsia" w:ascii="宋体" w:hAnsi="宋体"/>
                <w:sz w:val="18"/>
              </w:rPr>
              <w:t>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tcBorders>
              <w:top w:val="single" w:color="auto" w:sz="2" w:space="0"/>
              <w:left w:val="nil"/>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甲</w:t>
            </w:r>
          </w:p>
        </w:tc>
        <w:tc>
          <w:tcPr>
            <w:tcW w:w="942"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乙</w:t>
            </w:r>
          </w:p>
        </w:tc>
        <w:tc>
          <w:tcPr>
            <w:tcW w:w="112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丙</w:t>
            </w:r>
          </w:p>
        </w:tc>
        <w:tc>
          <w:tcPr>
            <w:tcW w:w="765"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丁</w:t>
            </w:r>
          </w:p>
        </w:tc>
        <w:tc>
          <w:tcPr>
            <w:tcW w:w="879"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1</w:t>
            </w:r>
          </w:p>
        </w:tc>
        <w:tc>
          <w:tcPr>
            <w:tcW w:w="647"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2</w:t>
            </w:r>
          </w:p>
        </w:tc>
        <w:tc>
          <w:tcPr>
            <w:tcW w:w="634"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3</w:t>
            </w:r>
          </w:p>
        </w:tc>
        <w:tc>
          <w:tcPr>
            <w:tcW w:w="851"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4</w:t>
            </w:r>
          </w:p>
        </w:tc>
        <w:tc>
          <w:tcPr>
            <w:tcW w:w="647" w:type="dxa"/>
            <w:tcBorders>
              <w:top w:val="single" w:color="auto" w:sz="2" w:space="0"/>
              <w:left w:val="single" w:color="auto" w:sz="2" w:space="0"/>
              <w:bottom w:val="single" w:color="auto" w:sz="2" w:space="0"/>
              <w:right w:val="single" w:color="auto" w:sz="2" w:space="0"/>
            </w:tcBorders>
            <w:vAlign w:val="center"/>
          </w:tcPr>
          <w:p>
            <w:pPr>
              <w:pStyle w:val="16"/>
              <w:jc w:val="center"/>
              <w:rPr>
                <w:rFonts w:ascii="宋体" w:hAnsi="宋体" w:eastAsia="宋体"/>
                <w:b w:val="0"/>
                <w:sz w:val="18"/>
              </w:rPr>
            </w:pPr>
            <w:r>
              <w:rPr>
                <w:rFonts w:hint="eastAsia" w:ascii="宋体" w:hAnsi="宋体" w:eastAsia="宋体"/>
                <w:b w:val="0"/>
                <w:sz w:val="18"/>
              </w:rPr>
              <w:t>5</w:t>
            </w:r>
          </w:p>
        </w:tc>
        <w:tc>
          <w:tcPr>
            <w:tcW w:w="687" w:type="dxa"/>
            <w:tcBorders>
              <w:top w:val="single" w:color="auto" w:sz="2" w:space="0"/>
              <w:left w:val="single" w:color="auto" w:sz="2" w:space="0"/>
              <w:bottom w:val="single" w:color="auto" w:sz="2" w:space="0"/>
              <w:right w:val="nil"/>
            </w:tcBorders>
            <w:vAlign w:val="center"/>
          </w:tcPr>
          <w:p>
            <w:pPr>
              <w:pStyle w:val="16"/>
              <w:jc w:val="center"/>
              <w:rPr>
                <w:rFonts w:ascii="宋体" w:hAnsi="宋体" w:eastAsia="宋体"/>
                <w:b w:val="0"/>
                <w:sz w:val="18"/>
              </w:rPr>
            </w:pPr>
            <w:r>
              <w:rPr>
                <w:rFonts w:hint="eastAsia" w:ascii="宋体" w:hAnsi="宋体" w:eastAsia="宋体"/>
                <w:b w:val="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3" w:type="dxa"/>
            <w:tcBorders>
              <w:top w:val="single" w:color="auto" w:sz="2" w:space="0"/>
              <w:left w:val="nil"/>
              <w:bottom w:val="single" w:color="auto" w:sz="8" w:space="0"/>
              <w:right w:val="single" w:color="auto" w:sz="2" w:space="0"/>
            </w:tcBorders>
          </w:tcPr>
          <w:p>
            <w:pPr>
              <w:pStyle w:val="16"/>
              <w:ind w:firstLine="90" w:firstLineChars="50"/>
              <w:rPr>
                <w:rFonts w:ascii="宋体" w:hAnsi="宋体" w:eastAsia="宋体"/>
                <w:b w:val="0"/>
                <w:sz w:val="18"/>
              </w:rPr>
            </w:pPr>
          </w:p>
          <w:p>
            <w:pPr>
              <w:pStyle w:val="16"/>
              <w:ind w:firstLine="90" w:firstLineChars="50"/>
              <w:rPr>
                <w:rFonts w:ascii="宋体" w:hAnsi="宋体" w:eastAsia="宋体"/>
                <w:b w:val="0"/>
                <w:sz w:val="18"/>
              </w:rPr>
            </w:pPr>
            <w:r>
              <w:rPr>
                <w:rFonts w:hint="eastAsia" w:ascii="宋体" w:hAnsi="宋体" w:eastAsia="宋体"/>
                <w:b w:val="0"/>
                <w:sz w:val="18"/>
              </w:rPr>
              <w:t xml:space="preserve"> **再投资企业或项目</w:t>
            </w:r>
          </w:p>
          <w:p>
            <w:pPr>
              <w:pStyle w:val="16"/>
              <w:ind w:firstLine="180" w:firstLineChars="100"/>
              <w:rPr>
                <w:rFonts w:ascii="宋体" w:hAnsi="宋体" w:eastAsia="宋体"/>
                <w:b w:val="0"/>
                <w:sz w:val="18"/>
              </w:rPr>
            </w:pPr>
          </w:p>
          <w:p>
            <w:pPr>
              <w:pStyle w:val="16"/>
              <w:ind w:firstLine="180" w:firstLineChars="100"/>
              <w:rPr>
                <w:rFonts w:ascii="宋体" w:hAnsi="宋体" w:eastAsia="宋体"/>
                <w:b w:val="0"/>
                <w:sz w:val="18"/>
              </w:rPr>
            </w:pPr>
            <w:r>
              <w:rPr>
                <w:rFonts w:hint="eastAsia" w:ascii="宋体" w:hAnsi="宋体" w:eastAsia="宋体"/>
                <w:b w:val="0"/>
                <w:sz w:val="18"/>
              </w:rPr>
              <w:t>**再投资企业或项目</w:t>
            </w:r>
          </w:p>
        </w:tc>
        <w:tc>
          <w:tcPr>
            <w:tcW w:w="942" w:type="dxa"/>
            <w:tcBorders>
              <w:top w:val="single" w:color="auto" w:sz="2" w:space="0"/>
              <w:left w:val="single" w:color="auto" w:sz="2" w:space="0"/>
              <w:bottom w:val="single" w:color="auto" w:sz="8" w:space="0"/>
              <w:right w:val="nil"/>
            </w:tcBorders>
          </w:tcPr>
          <w:p>
            <w:pPr>
              <w:pStyle w:val="16"/>
              <w:rPr>
                <w:rFonts w:ascii="宋体" w:hAnsi="宋体" w:eastAsia="宋体"/>
                <w:b w:val="0"/>
                <w:sz w:val="18"/>
              </w:rPr>
            </w:pPr>
          </w:p>
        </w:tc>
        <w:tc>
          <w:tcPr>
            <w:tcW w:w="6235" w:type="dxa"/>
            <w:gridSpan w:val="8"/>
            <w:tcBorders>
              <w:top w:val="single" w:color="auto" w:sz="2" w:space="0"/>
              <w:left w:val="nil"/>
              <w:bottom w:val="single" w:color="auto" w:sz="8" w:space="0"/>
              <w:right w:val="nil"/>
            </w:tcBorders>
          </w:tcPr>
          <w:p>
            <w:pPr>
              <w:pStyle w:val="16"/>
              <w:rPr>
                <w:rFonts w:ascii="宋体" w:hAnsi="宋体" w:eastAsia="宋体"/>
                <w:b w:val="0"/>
                <w:sz w:val="18"/>
              </w:rPr>
            </w:pPr>
          </w:p>
        </w:tc>
      </w:tr>
    </w:tbl>
    <w:p>
      <w:pPr>
        <w:pStyle w:val="16"/>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6"/>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说明：1.本表综合反映报告期境内投资者通过境外企业再投资到最终目的国家（地区）企业和项目等基本情况。境外企业在本企业注册国家（地区）内进行的再投资活动不属于再投资统计范畴。境外企业再投资回中国内地的投资属返程投资，不在本表中反映。本表由非金融业境内投资者于月后</w:t>
      </w:r>
      <w:r>
        <w:rPr>
          <w:rFonts w:hint="eastAsia" w:ascii="宋体" w:hAnsi="宋体" w:eastAsia="宋体"/>
          <w:b w:val="0"/>
          <w:sz w:val="18"/>
          <w:szCs w:val="18"/>
        </w:rPr>
        <w:t>15日</w:t>
      </w:r>
      <w:r>
        <w:rPr>
          <w:rFonts w:hint="eastAsia" w:ascii="宋体" w:hAnsi="宋体" w:eastAsia="宋体"/>
          <w:b w:val="0"/>
          <w:sz w:val="18"/>
        </w:rPr>
        <w:t>前报省级商务主管部门或商务部。</w:t>
      </w:r>
    </w:p>
    <w:p>
      <w:pPr>
        <w:pStyle w:val="16"/>
        <w:ind w:firstLine="540"/>
        <w:rPr>
          <w:rFonts w:ascii="宋体" w:hAnsi="宋体" w:eastAsia="宋体"/>
          <w:b w:val="0"/>
          <w:sz w:val="18"/>
        </w:rPr>
      </w:pPr>
      <w:r>
        <w:rPr>
          <w:rFonts w:hint="eastAsia" w:ascii="宋体" w:hAnsi="宋体" w:eastAsia="宋体"/>
          <w:b w:val="0"/>
          <w:sz w:val="18"/>
        </w:rPr>
        <w:t>2.直接投资企业：指境内投资者直接拥有或控制10%或以上股权、投票权或其他等价利益的境外企业，本表指发生再投资行为的一级境外企业。</w:t>
      </w:r>
    </w:p>
    <w:p>
      <w:pPr>
        <w:pStyle w:val="16"/>
        <w:ind w:firstLine="540"/>
        <w:rPr>
          <w:rFonts w:ascii="宋体" w:hAnsi="宋体" w:eastAsia="宋体"/>
          <w:b w:val="0"/>
          <w:sz w:val="18"/>
        </w:rPr>
      </w:pPr>
      <w:r>
        <w:rPr>
          <w:rFonts w:hint="eastAsia" w:ascii="宋体" w:hAnsi="宋体" w:eastAsia="宋体"/>
          <w:b w:val="0"/>
          <w:sz w:val="18"/>
        </w:rPr>
        <w:t>3.再投资企业和项目：指境内投资者通过直接投资企业控制10%或以上股权、投票权或其他等价利益最终实体境外企业或项目。</w:t>
      </w:r>
    </w:p>
    <w:p>
      <w:pPr>
        <w:pStyle w:val="16"/>
        <w:ind w:firstLine="540"/>
        <w:rPr>
          <w:rFonts w:ascii="宋体" w:hAnsi="宋体" w:eastAsia="宋体"/>
          <w:b w:val="0"/>
          <w:sz w:val="18"/>
        </w:rPr>
      </w:pPr>
      <w:r>
        <w:rPr>
          <w:rFonts w:hint="eastAsia" w:ascii="宋体" w:hAnsi="宋体" w:eastAsia="宋体"/>
          <w:b w:val="0"/>
          <w:sz w:val="18"/>
        </w:rPr>
        <w:t>4.境内出资：指境内投资者报告期以境内货币、实物、无形资产及其他等方式出资，再投资到最终投资目的企业或项目的金额，包括当月和本年累计。</w:t>
      </w:r>
    </w:p>
    <w:p>
      <w:pPr>
        <w:pStyle w:val="16"/>
        <w:ind w:firstLine="540"/>
        <w:rPr>
          <w:rFonts w:ascii="宋体" w:hAnsi="宋体" w:eastAsia="宋体"/>
          <w:b w:val="0"/>
          <w:sz w:val="18"/>
        </w:rPr>
      </w:pPr>
      <w:r>
        <w:rPr>
          <w:rFonts w:hint="eastAsia" w:ascii="宋体" w:hAnsi="宋体" w:eastAsia="宋体"/>
          <w:b w:val="0"/>
          <w:sz w:val="18"/>
        </w:rPr>
        <w:t>5.境外出资：指境内投资者报告期以境外自有资金、银行贷款（包括内保外贷、外保外贷等）等方式出资，再投资到出最终投资目的企业或项目的金额，包括当月和本年累计。</w:t>
      </w:r>
    </w:p>
    <w:p>
      <w:pPr>
        <w:pStyle w:val="16"/>
        <w:ind w:firstLine="540"/>
        <w:rPr>
          <w:rFonts w:ascii="宋体" w:hAnsi="宋体" w:eastAsia="宋体"/>
          <w:b w:val="0"/>
          <w:sz w:val="18"/>
        </w:rPr>
      </w:pPr>
      <w:r>
        <w:rPr>
          <w:rFonts w:hint="eastAsia" w:ascii="宋体" w:hAnsi="宋体" w:eastAsia="宋体"/>
          <w:b w:val="0"/>
          <w:sz w:val="18"/>
        </w:rPr>
        <w:t>6.再投资额：指报告期境内投资者对最终投资目的企业或项目的投资总额，是境内出资和境外出资总和，包括当月和本年累计。1栏=2栏+3栏；4栏=5栏+6栏</w:t>
      </w:r>
    </w:p>
    <w:p>
      <w:pPr>
        <w:pStyle w:val="16"/>
        <w:ind w:firstLine="540"/>
        <w:rPr>
          <w:rFonts w:ascii="宋体" w:hAnsi="宋体" w:eastAsia="宋体"/>
          <w:bCs/>
          <w:sz w:val="18"/>
        </w:rPr>
      </w:pPr>
    </w:p>
    <w:p>
      <w:pPr>
        <w:pStyle w:val="16"/>
        <w:ind w:firstLine="540"/>
        <w:rPr>
          <w:rFonts w:ascii="宋体" w:hAnsi="宋体" w:eastAsia="宋体"/>
          <w:bCs/>
          <w:sz w:val="18"/>
        </w:rPr>
      </w:pPr>
    </w:p>
    <w:p>
      <w:pPr>
        <w:pStyle w:val="16"/>
        <w:ind w:firstLine="540"/>
        <w:jc w:val="center"/>
        <w:rPr>
          <w:rFonts w:ascii="宋体" w:hAnsi="宋体" w:eastAsia="宋体"/>
          <w:bCs/>
          <w:sz w:val="32"/>
          <w:szCs w:val="32"/>
        </w:rPr>
      </w:pPr>
      <w:r>
        <w:rPr>
          <w:rFonts w:hint="eastAsia" w:ascii="宋体" w:hAnsi="宋体" w:eastAsia="宋体"/>
          <w:bCs/>
          <w:sz w:val="32"/>
          <w:szCs w:val="32"/>
        </w:rPr>
        <w:br w:type="page"/>
      </w:r>
    </w:p>
    <w:p>
      <w:pPr>
        <w:pStyle w:val="16"/>
        <w:ind w:firstLine="540"/>
        <w:jc w:val="center"/>
        <w:rPr>
          <w:rFonts w:ascii="宋体" w:hAnsi="宋体" w:eastAsia="宋体"/>
          <w:bCs/>
          <w:sz w:val="32"/>
          <w:szCs w:val="32"/>
        </w:rPr>
      </w:pPr>
      <w:r>
        <w:rPr>
          <w:rFonts w:hint="eastAsia" w:ascii="宋体" w:hAnsi="宋体" w:eastAsia="宋体"/>
          <w:bCs/>
          <w:sz w:val="32"/>
          <w:szCs w:val="32"/>
        </w:rPr>
        <w:t>对外投资带动货物进出口情况</w:t>
      </w:r>
    </w:p>
    <w:tbl>
      <w:tblPr>
        <w:tblStyle w:val="11"/>
        <w:tblW w:w="9457" w:type="dxa"/>
        <w:tblInd w:w="93" w:type="dxa"/>
        <w:tblLayout w:type="fixed"/>
        <w:tblCellMar>
          <w:top w:w="0" w:type="dxa"/>
          <w:left w:w="108" w:type="dxa"/>
          <w:bottom w:w="0" w:type="dxa"/>
          <w:right w:w="108" w:type="dxa"/>
        </w:tblCellMar>
      </w:tblPr>
      <w:tblGrid>
        <w:gridCol w:w="15"/>
        <w:gridCol w:w="1798"/>
        <w:gridCol w:w="1463"/>
        <w:gridCol w:w="1275"/>
        <w:gridCol w:w="1226"/>
        <w:gridCol w:w="660"/>
        <w:gridCol w:w="588"/>
        <w:gridCol w:w="1134"/>
        <w:gridCol w:w="1298"/>
      </w:tblGrid>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FDIY7表</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2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Layout w:type="fixed"/>
          <w:tblCellMar>
            <w:top w:w="0" w:type="dxa"/>
            <w:left w:w="108" w:type="dxa"/>
            <w:bottom w:w="0" w:type="dxa"/>
            <w:right w:w="108" w:type="dxa"/>
          </w:tblCellMar>
        </w:tblPrEx>
        <w:trPr>
          <w:trHeight w:val="270" w:hRule="atLeast"/>
        </w:trPr>
        <w:tc>
          <w:tcPr>
            <w:tcW w:w="6437"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20"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397" w:hRule="atLeast"/>
        </w:trPr>
        <w:tc>
          <w:tcPr>
            <w:tcW w:w="1798"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p>
          <w:p>
            <w:pPr>
              <w:ind w:firstLine="180"/>
              <w:rPr>
                <w:rFonts w:ascii="宋体" w:hAnsi="宋体"/>
                <w:sz w:val="18"/>
              </w:rPr>
            </w:pPr>
            <w:r>
              <w:rPr>
                <w:rFonts w:hint="eastAsia" w:ascii="宋体" w:hAnsi="宋体"/>
                <w:sz w:val="18"/>
              </w:rPr>
              <w:t>境外企业名称</w:t>
            </w:r>
          </w:p>
        </w:tc>
        <w:tc>
          <w:tcPr>
            <w:tcW w:w="1463"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境外企业所在国家(地区)及城市</w:t>
            </w:r>
          </w:p>
        </w:tc>
        <w:tc>
          <w:tcPr>
            <w:tcW w:w="1275"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境外企业</w:t>
            </w:r>
          </w:p>
          <w:p>
            <w:pPr>
              <w:jc w:val="center"/>
              <w:rPr>
                <w:rFonts w:ascii="宋体" w:hAnsi="宋体"/>
                <w:sz w:val="18"/>
              </w:rPr>
            </w:pPr>
            <w:r>
              <w:rPr>
                <w:rFonts w:hint="eastAsia" w:ascii="宋体" w:hAnsi="宋体"/>
                <w:sz w:val="18"/>
              </w:rPr>
              <w:t>行业类别</w:t>
            </w:r>
          </w:p>
        </w:tc>
        <w:tc>
          <w:tcPr>
            <w:tcW w:w="247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p>
          <w:p>
            <w:pPr>
              <w:jc w:val="center"/>
              <w:rPr>
                <w:rFonts w:ascii="宋体" w:hAnsi="宋体"/>
                <w:sz w:val="18"/>
              </w:rPr>
            </w:pPr>
            <w:r>
              <w:rPr>
                <w:rFonts w:hint="eastAsia" w:ascii="宋体" w:hAnsi="宋体"/>
                <w:sz w:val="18"/>
              </w:rPr>
              <w:t>带动货物出口总额</w:t>
            </w:r>
          </w:p>
          <w:p>
            <w:pPr>
              <w:jc w:val="center"/>
              <w:rPr>
                <w:rFonts w:ascii="宋体" w:hAnsi="宋体"/>
                <w:sz w:val="18"/>
              </w:rPr>
            </w:pPr>
          </w:p>
        </w:tc>
        <w:tc>
          <w:tcPr>
            <w:tcW w:w="2432" w:type="dxa"/>
            <w:gridSpan w:val="2"/>
            <w:tcBorders>
              <w:top w:val="single" w:color="auto" w:sz="8" w:space="0"/>
              <w:left w:val="single" w:color="auto" w:sz="2" w:space="0"/>
              <w:bottom w:val="single" w:color="auto" w:sz="2" w:space="0"/>
              <w:right w:val="nil"/>
            </w:tcBorders>
            <w:vAlign w:val="center"/>
          </w:tcPr>
          <w:p>
            <w:pPr>
              <w:jc w:val="center"/>
              <w:rPr>
                <w:rFonts w:ascii="宋体" w:hAnsi="宋体"/>
                <w:sz w:val="18"/>
              </w:rPr>
            </w:pPr>
          </w:p>
          <w:p>
            <w:pPr>
              <w:jc w:val="center"/>
              <w:rPr>
                <w:rFonts w:ascii="宋体" w:hAnsi="宋体"/>
                <w:sz w:val="18"/>
              </w:rPr>
            </w:pPr>
            <w:r>
              <w:rPr>
                <w:rFonts w:hint="eastAsia" w:ascii="宋体" w:hAnsi="宋体"/>
                <w:sz w:val="18"/>
              </w:rPr>
              <w:t>带动货物进口总额</w:t>
            </w:r>
          </w:p>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856" w:hRule="atLeast"/>
        </w:trPr>
        <w:tc>
          <w:tcPr>
            <w:tcW w:w="179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46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7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26"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sz w:val="18"/>
              </w:rPr>
            </w:pPr>
            <w:r>
              <w:rPr>
                <w:rFonts w:hint="eastAsia" w:ascii="宋体" w:hAnsi="宋体"/>
                <w:sz w:val="18"/>
              </w:rPr>
              <w:t>当月</w:t>
            </w:r>
          </w:p>
        </w:tc>
        <w:tc>
          <w:tcPr>
            <w:tcW w:w="124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r>
              <w:rPr>
                <w:rFonts w:hint="eastAsia" w:ascii="宋体" w:hAnsi="宋体"/>
                <w:sz w:val="18"/>
                <w:szCs w:val="18"/>
              </w:rPr>
              <w:t>本</w:t>
            </w:r>
            <w:r>
              <w:rPr>
                <w:rFonts w:hint="eastAsia" w:ascii="宋体" w:hAnsi="宋体"/>
                <w:sz w:val="18"/>
              </w:rPr>
              <w:t>月累计</w:t>
            </w:r>
          </w:p>
        </w:tc>
        <w:tc>
          <w:tcPr>
            <w:tcW w:w="113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sz w:val="18"/>
              </w:rPr>
            </w:pPr>
            <w:r>
              <w:rPr>
                <w:rFonts w:hint="eastAsia" w:ascii="宋体" w:hAnsi="宋体"/>
                <w:sz w:val="18"/>
              </w:rPr>
              <w:t>当月</w:t>
            </w:r>
          </w:p>
        </w:tc>
        <w:tc>
          <w:tcPr>
            <w:tcW w:w="129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r>
              <w:rPr>
                <w:rFonts w:hint="eastAsia" w:ascii="宋体" w:hAnsi="宋体"/>
                <w:sz w:val="18"/>
                <w:szCs w:val="18"/>
              </w:rPr>
              <w:t>本</w:t>
            </w:r>
            <w:r>
              <w:rPr>
                <w:rFonts w:hint="eastAsia" w:ascii="宋体" w:hAnsi="宋体"/>
                <w:sz w:val="18"/>
              </w:rPr>
              <w:t>月累计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397" w:hRule="atLeast"/>
        </w:trPr>
        <w:tc>
          <w:tcPr>
            <w:tcW w:w="179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4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127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2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24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129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1361" w:hRule="atLeast"/>
        </w:trPr>
        <w:tc>
          <w:tcPr>
            <w:tcW w:w="1798" w:type="dxa"/>
            <w:tcBorders>
              <w:top w:val="single" w:color="auto" w:sz="2" w:space="0"/>
              <w:left w:val="nil"/>
              <w:bottom w:val="single" w:color="auto" w:sz="8" w:space="0"/>
              <w:right w:val="single" w:color="auto" w:sz="2" w:space="0"/>
            </w:tcBorders>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**境外企业</w:t>
            </w:r>
          </w:p>
          <w:p>
            <w:pPr>
              <w:rPr>
                <w:rFonts w:ascii="宋体" w:hAnsi="宋体"/>
                <w:sz w:val="18"/>
              </w:rPr>
            </w:pPr>
          </w:p>
          <w:p>
            <w:pPr>
              <w:rPr>
                <w:rFonts w:ascii="宋体" w:hAnsi="宋体"/>
                <w:sz w:val="18"/>
              </w:rPr>
            </w:pPr>
          </w:p>
          <w:p>
            <w:pPr>
              <w:rPr>
                <w:rFonts w:ascii="宋体" w:hAnsi="宋体"/>
                <w:sz w:val="18"/>
              </w:rPr>
            </w:pPr>
          </w:p>
        </w:tc>
        <w:tc>
          <w:tcPr>
            <w:tcW w:w="7644" w:type="dxa"/>
            <w:gridSpan w:val="7"/>
            <w:tcBorders>
              <w:top w:val="single" w:color="auto" w:sz="2" w:space="0"/>
              <w:left w:val="single" w:color="auto" w:sz="2" w:space="0"/>
              <w:bottom w:val="single" w:color="auto" w:sz="8" w:space="0"/>
              <w:right w:val="nil"/>
            </w:tcBorders>
          </w:tcPr>
          <w:p>
            <w:pPr>
              <w:rPr>
                <w:rFonts w:ascii="宋体" w:hAnsi="宋体"/>
                <w:sz w:val="18"/>
              </w:rPr>
            </w:pPr>
          </w:p>
        </w:tc>
      </w:tr>
    </w:tbl>
    <w:p>
      <w:pPr>
        <w:pStyle w:val="16"/>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6"/>
        <w:ind w:firstLine="540"/>
        <w:rPr>
          <w:rFonts w:ascii="宋体" w:hAnsi="宋体" w:eastAsia="宋体"/>
          <w:b w:val="0"/>
          <w:sz w:val="18"/>
        </w:rPr>
      </w:pPr>
    </w:p>
    <w:p>
      <w:pPr>
        <w:pStyle w:val="16"/>
        <w:rPr>
          <w:rFonts w:ascii="宋体" w:hAnsi="宋体" w:eastAsia="宋体"/>
          <w:b w:val="0"/>
          <w:sz w:val="18"/>
        </w:rPr>
      </w:pPr>
      <w:r>
        <w:rPr>
          <w:rFonts w:hint="eastAsia" w:ascii="宋体" w:hAnsi="宋体" w:eastAsia="宋体"/>
          <w:b w:val="0"/>
          <w:sz w:val="18"/>
        </w:rPr>
        <w:t>说明：1.本表综合反映报告期境内投资者通过境外企业带动中国大陆货物进出口的基本情况。本表由非金融业境内投资者于月后</w:t>
      </w:r>
      <w:r>
        <w:rPr>
          <w:rFonts w:hint="eastAsia" w:ascii="宋体" w:hAnsi="宋体" w:eastAsia="宋体"/>
          <w:b w:val="0"/>
          <w:sz w:val="18"/>
          <w:szCs w:val="18"/>
        </w:rPr>
        <w:t>15日</w:t>
      </w:r>
      <w:r>
        <w:rPr>
          <w:rFonts w:hint="eastAsia" w:ascii="宋体" w:hAnsi="宋体" w:eastAsia="宋体"/>
          <w:b w:val="0"/>
          <w:sz w:val="18"/>
        </w:rPr>
        <w:t>前报省级商务主管部门或商务部。</w:t>
      </w:r>
    </w:p>
    <w:p>
      <w:pPr>
        <w:pStyle w:val="16"/>
        <w:ind w:firstLine="360" w:firstLineChars="200"/>
        <w:rPr>
          <w:rFonts w:ascii="宋体" w:hAnsi="宋体" w:eastAsia="宋体"/>
          <w:b w:val="0"/>
          <w:sz w:val="18"/>
        </w:rPr>
      </w:pPr>
      <w:r>
        <w:rPr>
          <w:rFonts w:hint="eastAsia" w:ascii="宋体" w:hAnsi="宋体" w:eastAsia="宋体"/>
          <w:b w:val="0"/>
          <w:sz w:val="18"/>
        </w:rPr>
        <w:t>2.带动货物出口总额包括：（1）境内投资者以实物形式出资（即形成对境外企业的股权或债务工具投资）的货物出口；（2）境外企业（含投资链条所有境外企业）在生产经营活动中从中国大陆进口的所有货物总值。（3）境外企业如为境外销售平台，则平台涉及来自中国大陆的货物进口交易视同带动货物出口。</w:t>
      </w:r>
    </w:p>
    <w:p>
      <w:pPr>
        <w:pStyle w:val="16"/>
        <w:ind w:firstLine="360" w:firstLineChars="200"/>
        <w:rPr>
          <w:rFonts w:ascii="宋体" w:hAnsi="宋体" w:eastAsia="宋体"/>
          <w:b w:val="0"/>
          <w:sz w:val="18"/>
        </w:rPr>
      </w:pPr>
      <w:r>
        <w:rPr>
          <w:rFonts w:hint="eastAsia" w:ascii="宋体" w:hAnsi="宋体" w:eastAsia="宋体"/>
          <w:b w:val="0"/>
          <w:sz w:val="18"/>
        </w:rPr>
        <w:t>3.带动货物进口总额包括：（1）境内投资者通过对外投资获得的权益产品进口；（2）境外企业（含投资链条所有境外企业）在生产经营活动中出口到中国大陆的所有货物总值。（3）境外企业如为境外销售平台，则平台涉及流向中国大陆的货物出口交易视同带动货物进口。</w:t>
      </w:r>
    </w:p>
    <w:p>
      <w:pPr>
        <w:pStyle w:val="16"/>
        <w:ind w:firstLine="360" w:firstLineChars="200"/>
        <w:rPr>
          <w:rFonts w:ascii="宋体" w:hAnsi="宋体" w:eastAsia="宋体"/>
          <w:bCs/>
          <w:sz w:val="18"/>
        </w:rPr>
      </w:pPr>
    </w:p>
    <w:p>
      <w:pPr>
        <w:pStyle w:val="16"/>
        <w:ind w:firstLine="540"/>
        <w:rPr>
          <w:rFonts w:ascii="宋体" w:hAnsi="宋体" w:eastAsia="宋体"/>
          <w:bCs/>
          <w:sz w:val="18"/>
        </w:rPr>
      </w:pPr>
    </w:p>
    <w:p>
      <w:pPr>
        <w:pStyle w:val="16"/>
        <w:ind w:firstLine="540"/>
        <w:rPr>
          <w:rFonts w:ascii="宋体" w:hAnsi="宋体" w:eastAsia="宋体"/>
          <w:bCs/>
          <w:sz w:val="18"/>
        </w:rPr>
      </w:pPr>
    </w:p>
    <w:p>
      <w:pPr>
        <w:pStyle w:val="16"/>
        <w:ind w:firstLine="540"/>
        <w:rPr>
          <w:rFonts w:ascii="宋体" w:hAnsi="宋体" w:eastAsia="宋体"/>
          <w:bCs/>
          <w:sz w:val="18"/>
        </w:rPr>
      </w:pPr>
    </w:p>
    <w:p>
      <w:pPr>
        <w:pStyle w:val="16"/>
        <w:ind w:firstLine="540"/>
        <w:rPr>
          <w:rFonts w:ascii="宋体" w:hAnsi="宋体" w:eastAsia="宋体"/>
          <w:bCs/>
          <w:sz w:val="18"/>
        </w:rPr>
      </w:pPr>
    </w:p>
    <w:p>
      <w:pPr>
        <w:pStyle w:val="16"/>
        <w:ind w:firstLine="540"/>
        <w:rPr>
          <w:rFonts w:ascii="宋体" w:hAnsi="宋体" w:eastAsia="宋体"/>
          <w:bCs/>
          <w:sz w:val="18"/>
        </w:rPr>
      </w:pPr>
    </w:p>
    <w:p>
      <w:pPr>
        <w:jc w:val="center"/>
        <w:rPr>
          <w:rFonts w:ascii="黑体" w:eastAsia="黑体"/>
          <w:sz w:val="32"/>
          <w:szCs w:val="32"/>
        </w:rPr>
      </w:pPr>
      <w:r>
        <w:rPr>
          <w:rFonts w:hint="eastAsia" w:ascii="黑体" w:eastAsia="黑体"/>
          <w:sz w:val="32"/>
          <w:szCs w:val="32"/>
        </w:rPr>
        <w:br w:type="page"/>
      </w:r>
    </w:p>
    <w:p>
      <w:pPr>
        <w:jc w:val="center"/>
        <w:rPr>
          <w:rFonts w:ascii="黑体" w:eastAsia="黑体"/>
          <w:sz w:val="32"/>
          <w:szCs w:val="32"/>
        </w:rPr>
      </w:pPr>
      <w:r>
        <w:rPr>
          <w:rFonts w:hint="eastAsia" w:ascii="黑体" w:eastAsia="黑体"/>
          <w:sz w:val="32"/>
          <w:szCs w:val="32"/>
        </w:rPr>
        <w:t>四、主要指标解释及概念界定</w:t>
      </w:r>
    </w:p>
    <w:p>
      <w:pPr>
        <w:spacing w:line="40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（一）主要指标解释</w:t>
      </w:r>
    </w:p>
    <w:p>
      <w:pPr>
        <w:spacing w:line="400" w:lineRule="exact"/>
        <w:ind w:firstLine="411" w:firstLineChars="196"/>
        <w:rPr>
          <w:rFonts w:asciiTheme="minorEastAsia" w:hAnsiTheme="minorEastAsia" w:cstheme="minorEastAsia"/>
          <w:b/>
          <w:szCs w:val="21"/>
        </w:rPr>
      </w:pPr>
      <w:r>
        <w:rPr>
          <w:rFonts w:hint="eastAsia" w:asciiTheme="minorEastAsia" w:hAnsiTheme="minorEastAsia" w:cstheme="minorEastAsia"/>
          <w:b/>
          <w:szCs w:val="21"/>
        </w:rPr>
        <w:t>1、对外直接投资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对外直接投资是境内投资者以控制国(境)外企业的经营管理权为核心的经济活动，体现在一经济体通过投资于另一经济体而实现其持久利益的目标。</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b/>
          <w:szCs w:val="21"/>
        </w:rPr>
        <w:t>2、直接投资企业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指境内投资者直接拥有或控制10％或以上股权、投票权或其他等价利益的境外企业。境外企业按设立方式主要分为子公司、联营公司和分支机构。</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（1）子公司</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境内投资者拥有该境外企业50％以上的股东或成员表决权，并具有该境外企业行政、管理或监督机构主要成员的任命权或罢免权。</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（2）联营公司：</w:t>
      </w:r>
      <w:r>
        <w:rPr>
          <w:rFonts w:hint="eastAsia" w:asciiTheme="minorEastAsia" w:hAnsiTheme="minorEastAsia" w:cstheme="minorEastAsia"/>
          <w:bCs/>
          <w:szCs w:val="21"/>
        </w:rPr>
        <w:t>境内投资者拥有该境外企业10%－50%的股东或成员表决权。</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（3）分支机构：</w:t>
      </w:r>
      <w:r>
        <w:rPr>
          <w:rFonts w:hint="eastAsia" w:asciiTheme="minorEastAsia" w:hAnsiTheme="minorEastAsia" w:cstheme="minorEastAsia"/>
          <w:bCs/>
          <w:szCs w:val="21"/>
        </w:rPr>
        <w:t>即境内投资者在国(境)外的非公司型企业。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bCs/>
          <w:szCs w:val="21"/>
        </w:rPr>
        <w:t>3、成员企业：</w:t>
      </w:r>
      <w:r>
        <w:rPr>
          <w:rFonts w:hint="eastAsia" w:asciiTheme="minorEastAsia" w:hAnsiTheme="minorEastAsia" w:cstheme="minorEastAsia"/>
          <w:bCs/>
          <w:szCs w:val="21"/>
        </w:rPr>
        <w:t>指企业间互相不持有股份，但为同一企业所影响，则这些企业称为成员企业。只要企业间存在直接或间接地有一个共同的母公司，这些企业即成为成员企业。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例如：中国A企业在中国香港设立直接投资企业B,在美国设立了境外企业C，企业C和B互为成员企业。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bCs/>
          <w:szCs w:val="21"/>
        </w:rPr>
        <w:t>4、境外成员企业：</w:t>
      </w:r>
      <w:r>
        <w:rPr>
          <w:rFonts w:hint="eastAsia" w:asciiTheme="minorEastAsia" w:hAnsiTheme="minorEastAsia" w:cstheme="minorEastAsia"/>
          <w:bCs/>
          <w:szCs w:val="21"/>
        </w:rPr>
        <w:t>指与境内投资者互为成员企业的境外企业。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例如：中国A企业在中国内地设立了B企业,又在英国投资了企业C，企业C是B的境外成员企业。</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b/>
          <w:szCs w:val="21"/>
        </w:rPr>
        <w:t>5、对外直接投资额</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指境内投资者在报告期内直接向其境外企业实现的投资，包括股权投资、收益再投资以及债务工具三部分。</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金融业的对外直接投资仅包括股权投资和收益再投资。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（1）股权投资：</w:t>
      </w:r>
      <w:r>
        <w:rPr>
          <w:rFonts w:hint="eastAsia" w:asciiTheme="minorEastAsia" w:hAnsiTheme="minorEastAsia" w:cstheme="minorEastAsia"/>
          <w:bCs/>
          <w:szCs w:val="21"/>
        </w:rPr>
        <w:t>指境内投资者在其境外分支机构投入的股本金或在其境外子公司和联营公司的股份。</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股权：</w:t>
      </w:r>
      <w:r>
        <w:rPr>
          <w:rFonts w:hint="eastAsia" w:asciiTheme="minorEastAsia" w:hAnsiTheme="minorEastAsia" w:cstheme="minorEastAsia"/>
          <w:bCs/>
          <w:szCs w:val="21"/>
        </w:rPr>
        <w:t>等于报告年度末境外企业资产负债表中“股本”项乘以中方所占投资份额(或股权比重)，当期股权的减少记作当期负流量。</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新增股权：</w:t>
      </w:r>
      <w:r>
        <w:rPr>
          <w:rFonts w:hint="eastAsia" w:asciiTheme="minorEastAsia" w:hAnsiTheme="minorEastAsia" w:cstheme="minorEastAsia"/>
          <w:bCs/>
          <w:szCs w:val="21"/>
        </w:rPr>
        <w:t>等于报告年度境外企业股本增加额乘以中方股权份额，其中包括境内投资者当年实际缴付的股本和由投资收益转增的股本。股权增加额为该企业年末、年初资产负债表“股本”项目相减之差。</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（2）收益再投资：</w:t>
      </w:r>
      <w:r>
        <w:rPr>
          <w:rFonts w:hint="eastAsia" w:asciiTheme="minorEastAsia" w:hAnsiTheme="minorEastAsia" w:cstheme="minorEastAsia"/>
          <w:bCs/>
          <w:szCs w:val="21"/>
        </w:rPr>
        <w:t>指境外子公司或联营公司未作为红利分配但应归属于境内投资者的利润部分，以及境外分支机构未汇给境内投资者的利润部分。</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当期收益再投资：</w:t>
      </w:r>
      <w:r>
        <w:rPr>
          <w:rFonts w:hint="eastAsia" w:asciiTheme="minorEastAsia" w:hAnsiTheme="minorEastAsia" w:cstheme="minorEastAsia"/>
          <w:bCs/>
          <w:szCs w:val="21"/>
        </w:rPr>
        <w:t>等于报告年度境外企业资产负债表中按中方股权比例计算的未分配利润期末数与期初数的差额，当期利润再投资为负数记入当期负流量。</w:t>
      </w:r>
    </w:p>
    <w:p>
      <w:pPr>
        <w:spacing w:line="400" w:lineRule="exact"/>
        <w:ind w:firstLine="420" w:firstLineChars="200"/>
        <w:rPr>
          <w:rFonts w:asciiTheme="minorEastAsia" w:hAnsiTheme="minorEastAsia" w:cstheme="minorEastAsia"/>
          <w:bCs/>
          <w:color w:val="FF0000"/>
          <w:szCs w:val="21"/>
        </w:rPr>
      </w:pPr>
      <w:r>
        <w:rPr>
          <w:rFonts w:hint="eastAsia" w:asciiTheme="minorEastAsia" w:hAnsiTheme="minorEastAsia" w:cstheme="minorEastAsia"/>
          <w:szCs w:val="21"/>
        </w:rPr>
        <w:t>收益再投资：</w:t>
      </w:r>
      <w:r>
        <w:rPr>
          <w:rFonts w:hint="eastAsia" w:asciiTheme="minorEastAsia" w:hAnsiTheme="minorEastAsia" w:cstheme="minorEastAsia"/>
          <w:bCs/>
          <w:szCs w:val="21"/>
        </w:rPr>
        <w:t>等于报告年度境外企业资产负债表中按中方股权比例计算的未分配利润期末数，未分配利润期末数为负数不计入对外直接投资存量。</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（3）债务工具：是指</w:t>
      </w:r>
      <w:r>
        <w:rPr>
          <w:rFonts w:hint="eastAsia" w:asciiTheme="minorEastAsia" w:hAnsiTheme="minorEastAsia" w:cstheme="minorEastAsia"/>
          <w:bCs/>
          <w:szCs w:val="21"/>
        </w:rPr>
        <w:t>境外子公司、分支机构以及联营公司对境内投资者负债合计，包括境内投资者给境外子公司、联营公司和分支机构提供的贷款、应收和预付款项、债务证券等。境内投资者给境外成员企业间的贷款亦纳入此范畴。</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境内投资者当期提供给境外子公司、联营公司、分支机构、境外成员企业贷款记作当期对外直接投资流量和存量的增加；境外子公司、联营公司、境外成员企业归还当期或以前年度境内投资者记作当期对外直接投资的负流量，同时应调减当期存量。</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境内投资者与境外子公司、联营公司、分支机构间当期新增或减少的</w:t>
      </w:r>
      <w:r>
        <w:rPr>
          <w:rFonts w:hint="eastAsia" w:asciiTheme="minorEastAsia" w:hAnsiTheme="minorEastAsia" w:cstheme="minorEastAsia"/>
          <w:bCs/>
          <w:szCs w:val="21"/>
        </w:rPr>
        <w:t>应收和预付款项记作当期对外直接投资的流量的增加或减少；期末应收和预付款项记作对外直接投资的存量的增加或减少。</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6、反向投资额：</w:t>
      </w:r>
      <w:r>
        <w:rPr>
          <w:rFonts w:hint="eastAsia" w:asciiTheme="minorEastAsia" w:hAnsiTheme="minorEastAsia" w:cstheme="minorEastAsia"/>
          <w:bCs/>
          <w:szCs w:val="21"/>
        </w:rPr>
        <w:t>指境外企业对境内投资者持股比例低于10%的投资。</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
          <w:bCs/>
          <w:szCs w:val="21"/>
        </w:rPr>
        <w:t>7、返程投资：</w:t>
      </w:r>
      <w:r>
        <w:rPr>
          <w:rFonts w:hint="eastAsia" w:asciiTheme="minorEastAsia" w:hAnsiTheme="minorEastAsia" w:cstheme="minorEastAsia"/>
          <w:bCs/>
          <w:szCs w:val="21"/>
        </w:rPr>
        <w:t>指境内投资者将本地资金通过各种渠道流到国（境）外,再以直接投资（控股≥10%）的形式将这些资金返回到本地经济体。</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b/>
          <w:szCs w:val="21"/>
        </w:rPr>
        <w:t>8、当期对外直接投资总额</w:t>
      </w:r>
      <w:r>
        <w:rPr>
          <w:rFonts w:hint="eastAsia" w:asciiTheme="minorEastAsia" w:hAnsiTheme="minorEastAsia" w:cstheme="minorEastAsia"/>
          <w:szCs w:val="21"/>
        </w:rPr>
        <w:t>：</w:t>
      </w:r>
      <w:r>
        <w:rPr>
          <w:rFonts w:hint="eastAsia" w:asciiTheme="minorEastAsia" w:hAnsiTheme="minorEastAsia" w:cstheme="minorEastAsia"/>
          <w:bCs/>
          <w:szCs w:val="21"/>
        </w:rPr>
        <w:t>等于报告期境外企业新增股权加上当期收益再投资，加上对境内投资者的新增债务工具（包括贷款、应收款等）。</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9、当期对外直接投资流量</w:t>
      </w:r>
      <w:r>
        <w:rPr>
          <w:rFonts w:hint="eastAsia" w:asciiTheme="minorEastAsia" w:hAnsiTheme="minorEastAsia" w:cstheme="minorEastAsia"/>
          <w:szCs w:val="21"/>
        </w:rPr>
        <w:t>：</w:t>
      </w:r>
      <w:r>
        <w:rPr>
          <w:rFonts w:hint="eastAsia" w:asciiTheme="minorEastAsia" w:hAnsiTheme="minorEastAsia" w:cstheme="minorEastAsia"/>
          <w:bCs/>
          <w:szCs w:val="21"/>
        </w:rPr>
        <w:t>等于当期对外直接投资总额，减去当期境外企业对境内投资者的反向投资。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10、年末对外直接投资总额</w:t>
      </w:r>
      <w:r>
        <w:rPr>
          <w:rFonts w:hint="eastAsia" w:asciiTheme="minorEastAsia" w:hAnsiTheme="minorEastAsia" w:cstheme="minorEastAsia"/>
          <w:szCs w:val="21"/>
        </w:rPr>
        <w:t>：</w:t>
      </w:r>
      <w:r>
        <w:rPr>
          <w:rFonts w:hint="eastAsia" w:asciiTheme="minorEastAsia" w:hAnsiTheme="minorEastAsia" w:cstheme="minorEastAsia"/>
          <w:bCs/>
          <w:szCs w:val="21"/>
        </w:rPr>
        <w:t>等于报告期境外企业资产负债表中按中方投资比例计算的股本期末数加上按中方投资比例计算的未分配利润期末数，加上期末对境内投资者的债务工具（指境内投资者对境外企业提供贷款、应收款等）。</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11、年末对外直接投资存量</w:t>
      </w:r>
      <w:r>
        <w:rPr>
          <w:rFonts w:hint="eastAsia" w:asciiTheme="minorEastAsia" w:hAnsiTheme="minorEastAsia" w:cstheme="minorEastAsia"/>
          <w:szCs w:val="21"/>
        </w:rPr>
        <w:t>：</w:t>
      </w:r>
      <w:r>
        <w:rPr>
          <w:rFonts w:hint="eastAsia" w:asciiTheme="minorEastAsia" w:hAnsiTheme="minorEastAsia" w:cstheme="minorEastAsia"/>
          <w:bCs/>
          <w:szCs w:val="21"/>
        </w:rPr>
        <w:t>等于年末对外直接投资总额减去境外企业累计对境内投资者的反向投资。</w:t>
      </w:r>
    </w:p>
    <w:p>
      <w:pPr>
        <w:widowControl/>
        <w:spacing w:line="400" w:lineRule="exact"/>
        <w:ind w:firstLine="420" w:firstLineChars="200"/>
        <w:jc w:val="left"/>
        <w:rPr>
          <w:rFonts w:asciiTheme="minorEastAsia" w:hAnsiTheme="minorEastAsia" w:cstheme="minorEastAsia"/>
          <w:bCs/>
          <w:kern w:val="0"/>
          <w:szCs w:val="21"/>
        </w:rPr>
      </w:pPr>
      <w:r>
        <w:rPr>
          <w:rFonts w:hint="eastAsia" w:asciiTheme="minorEastAsia" w:hAnsiTheme="minorEastAsia" w:cstheme="minorEastAsia"/>
          <w:b/>
          <w:kern w:val="0"/>
          <w:szCs w:val="21"/>
        </w:rPr>
        <w:t>12、资产总计：</w:t>
      </w:r>
      <w:r>
        <w:rPr>
          <w:rFonts w:hint="eastAsia" w:asciiTheme="minorEastAsia" w:hAnsiTheme="minorEastAsia" w:cstheme="minorEastAsia"/>
          <w:bCs/>
          <w:kern w:val="0"/>
          <w:szCs w:val="21"/>
        </w:rPr>
        <w:t>指企业拥有的流动资产、固定资产、无形资产、长期投资、在建工程、其他资产等用货币计量的价值总和。</w:t>
      </w:r>
    </w:p>
    <w:p>
      <w:pPr>
        <w:widowControl/>
        <w:spacing w:line="400" w:lineRule="exact"/>
        <w:ind w:firstLine="420" w:firstLineChars="200"/>
        <w:jc w:val="left"/>
        <w:rPr>
          <w:rFonts w:asciiTheme="minorEastAsia" w:hAnsiTheme="minorEastAsia" w:cstheme="minorEastAsia"/>
          <w:bCs/>
          <w:kern w:val="0"/>
          <w:szCs w:val="21"/>
        </w:rPr>
      </w:pPr>
      <w:r>
        <w:rPr>
          <w:rFonts w:hint="eastAsia" w:asciiTheme="minorEastAsia" w:hAnsiTheme="minorEastAsia" w:cstheme="minorEastAsia"/>
          <w:b/>
          <w:kern w:val="0"/>
          <w:szCs w:val="21"/>
        </w:rPr>
        <w:t>13、负债合计：</w:t>
      </w:r>
      <w:r>
        <w:rPr>
          <w:rFonts w:hint="eastAsia" w:asciiTheme="minorEastAsia" w:hAnsiTheme="minorEastAsia" w:cstheme="minorEastAsia"/>
          <w:bCs/>
          <w:kern w:val="0"/>
          <w:szCs w:val="21"/>
        </w:rPr>
        <w:t>反映报告期末企业承担的能够以货币计量、需要以资产或者劳务偿付的债务，包括流动负债、长期负债和其他负债。</w:t>
      </w:r>
    </w:p>
    <w:p>
      <w:pPr>
        <w:widowControl/>
        <w:spacing w:line="400" w:lineRule="exact"/>
        <w:ind w:firstLine="420" w:firstLineChars="200"/>
        <w:jc w:val="left"/>
        <w:rPr>
          <w:rFonts w:asciiTheme="minorEastAsia" w:hAnsiTheme="minorEastAsia" w:cstheme="minorEastAsia"/>
          <w:bCs/>
          <w:kern w:val="0"/>
          <w:szCs w:val="21"/>
        </w:rPr>
      </w:pPr>
      <w:r>
        <w:rPr>
          <w:rFonts w:hint="eastAsia" w:asciiTheme="minorEastAsia" w:hAnsiTheme="minorEastAsia" w:cstheme="minorEastAsia"/>
          <w:b/>
          <w:kern w:val="0"/>
          <w:szCs w:val="21"/>
        </w:rPr>
        <w:t>14、所有者权益合计</w:t>
      </w:r>
      <w:r>
        <w:rPr>
          <w:rFonts w:hint="eastAsia" w:asciiTheme="minorEastAsia" w:hAnsiTheme="minorEastAsia" w:cstheme="minorEastAsia"/>
          <w:kern w:val="0"/>
          <w:szCs w:val="21"/>
        </w:rPr>
        <w:t>：</w:t>
      </w:r>
      <w:r>
        <w:rPr>
          <w:rFonts w:hint="eastAsia" w:asciiTheme="minorEastAsia" w:hAnsiTheme="minorEastAsia" w:cstheme="minorEastAsia"/>
          <w:bCs/>
          <w:kern w:val="0"/>
          <w:szCs w:val="21"/>
        </w:rPr>
        <w:t>指所有者在企业资产中享有的经济利益（按股比计算），其金额为资产减去负债后的余额，包括实收资本（或者股本）、资本公积、盈余公积和未分配利润等。</w:t>
      </w:r>
    </w:p>
    <w:p>
      <w:pPr>
        <w:widowControl/>
        <w:spacing w:line="400" w:lineRule="exact"/>
        <w:ind w:firstLine="420" w:firstLineChars="200"/>
        <w:jc w:val="left"/>
        <w:rPr>
          <w:rFonts w:asciiTheme="minorEastAsia" w:hAnsiTheme="minorEastAsia" w:cstheme="minorEastAsia"/>
          <w:bCs/>
          <w:kern w:val="0"/>
          <w:szCs w:val="21"/>
        </w:rPr>
      </w:pPr>
      <w:r>
        <w:rPr>
          <w:rFonts w:hint="eastAsia" w:asciiTheme="minorEastAsia" w:hAnsiTheme="minorEastAsia" w:cstheme="minorEastAsia"/>
          <w:b/>
          <w:kern w:val="0"/>
          <w:szCs w:val="21"/>
        </w:rPr>
        <w:t>15、实收资本</w:t>
      </w:r>
      <w:r>
        <w:rPr>
          <w:rFonts w:hint="eastAsia" w:asciiTheme="minorEastAsia" w:hAnsiTheme="minorEastAsia" w:cstheme="minorEastAsia"/>
          <w:kern w:val="0"/>
          <w:szCs w:val="21"/>
        </w:rPr>
        <w:t>：</w:t>
      </w:r>
      <w:r>
        <w:rPr>
          <w:rFonts w:hint="eastAsia" w:asciiTheme="minorEastAsia" w:hAnsiTheme="minorEastAsia" w:cstheme="minorEastAsia"/>
          <w:bCs/>
          <w:kern w:val="0"/>
          <w:szCs w:val="21"/>
        </w:rPr>
        <w:t xml:space="preserve">指投资者按照企业章程，或合同、协议的约定，实际投入企业的资本。   </w:t>
      </w:r>
    </w:p>
    <w:p>
      <w:pPr>
        <w:widowControl/>
        <w:spacing w:line="400" w:lineRule="exact"/>
        <w:ind w:firstLine="420" w:firstLineChars="200"/>
        <w:jc w:val="left"/>
        <w:rPr>
          <w:rFonts w:asciiTheme="minorEastAsia" w:hAnsiTheme="minorEastAsia" w:cstheme="minorEastAsia"/>
          <w:bCs/>
          <w:kern w:val="0"/>
          <w:szCs w:val="21"/>
        </w:rPr>
      </w:pPr>
      <w:r>
        <w:rPr>
          <w:rFonts w:hint="eastAsia" w:asciiTheme="minorEastAsia" w:hAnsiTheme="minorEastAsia" w:cstheme="minorEastAsia"/>
          <w:b/>
          <w:kern w:val="0"/>
          <w:szCs w:val="21"/>
        </w:rPr>
        <w:t>16、销售（营业）收入：</w:t>
      </w:r>
      <w:r>
        <w:rPr>
          <w:rFonts w:hint="eastAsia" w:asciiTheme="minorEastAsia" w:hAnsiTheme="minorEastAsia" w:cstheme="minorEastAsia"/>
          <w:kern w:val="0"/>
          <w:szCs w:val="21"/>
        </w:rPr>
        <w:t>指企业在销售商品或提供劳务等经营业务中实现的营业收入，</w:t>
      </w:r>
      <w:r>
        <w:rPr>
          <w:rFonts w:hint="eastAsia" w:asciiTheme="minorEastAsia" w:hAnsiTheme="minorEastAsia" w:cstheme="minorEastAsia"/>
          <w:bCs/>
          <w:kern w:val="0"/>
          <w:szCs w:val="21"/>
        </w:rPr>
        <w:t>包括主营业务收入和其他业务收入。</w:t>
      </w:r>
    </w:p>
    <w:p>
      <w:pPr>
        <w:spacing w:line="4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
          <w:kern w:val="0"/>
          <w:szCs w:val="21"/>
        </w:rPr>
        <w:t>17、利润总额：</w:t>
      </w:r>
      <w:r>
        <w:rPr>
          <w:rFonts w:hint="eastAsia" w:asciiTheme="minorEastAsia" w:hAnsiTheme="minorEastAsia" w:cstheme="minorEastAsia"/>
          <w:bCs/>
          <w:kern w:val="0"/>
          <w:szCs w:val="21"/>
        </w:rPr>
        <w:t>企业在报告期的经营成果，包括营业利润、投资净收益和营业外收支净额。</w:t>
      </w:r>
    </w:p>
    <w:p>
      <w:pPr>
        <w:spacing w:line="4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
          <w:bCs/>
          <w:color w:val="000000"/>
          <w:kern w:val="0"/>
          <w:szCs w:val="21"/>
        </w:rPr>
        <w:t>18、净利润：</w:t>
      </w:r>
      <w:r>
        <w:rPr>
          <w:rStyle w:val="18"/>
          <w:rFonts w:hint="eastAsia" w:asciiTheme="minorEastAsia" w:hAnsiTheme="minorEastAsia" w:cstheme="minorEastAsia"/>
          <w:color w:val="000000"/>
          <w:szCs w:val="21"/>
        </w:rPr>
        <w:t>指</w:t>
      </w:r>
      <w:r>
        <w:rPr>
          <w:rStyle w:val="9"/>
          <w:rFonts w:hint="eastAsia" w:asciiTheme="minorEastAsia" w:hAnsiTheme="minorEastAsia" w:cstheme="minorEastAsia"/>
          <w:color w:val="000000"/>
          <w:sz w:val="21"/>
          <w:szCs w:val="21"/>
        </w:rPr>
        <w:t>利润</w:t>
      </w:r>
      <w:r>
        <w:rPr>
          <w:rStyle w:val="18"/>
          <w:rFonts w:hint="eastAsia" w:asciiTheme="minorEastAsia" w:hAnsiTheme="minorEastAsia" w:cstheme="minorEastAsia"/>
          <w:color w:val="000000"/>
          <w:szCs w:val="21"/>
        </w:rPr>
        <w:t>总额中按规定交纳了所得税后企业的利润留成,一般也称为税后利润或</w:t>
      </w:r>
      <w:r>
        <w:rPr>
          <w:rStyle w:val="9"/>
          <w:rFonts w:hint="eastAsia" w:asciiTheme="minorEastAsia" w:hAnsiTheme="minorEastAsia" w:cstheme="minorEastAsia"/>
          <w:color w:val="000000"/>
          <w:sz w:val="21"/>
          <w:szCs w:val="21"/>
        </w:rPr>
        <w:t>净收入</w:t>
      </w:r>
      <w:r>
        <w:rPr>
          <w:rStyle w:val="18"/>
          <w:rFonts w:hint="eastAsia" w:asciiTheme="minorEastAsia" w:hAnsiTheme="minorEastAsia" w:cstheme="minorEastAsia"/>
          <w:color w:val="333333"/>
          <w:szCs w:val="21"/>
        </w:rPr>
        <w:t>。</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19、年末从业人员数：</w:t>
      </w:r>
      <w:r>
        <w:rPr>
          <w:rFonts w:hint="eastAsia" w:asciiTheme="minorEastAsia" w:hAnsiTheme="minorEastAsia" w:cstheme="minorEastAsia"/>
          <w:bCs/>
          <w:szCs w:val="21"/>
        </w:rPr>
        <w:t>指报告年度末在境（内）外企业从事一定的劳动并取得劳动报酬或其他形式劳动报酬的全部人员数。</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境外企业与中国境内有对外劳务合作经营资质的企业签订用工合同的相关从业人员不纳入境外企业年末从业人员统计。</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bCs/>
          <w:szCs w:val="21"/>
        </w:rPr>
        <w:t>20、对所在国家（地区）上缴税金总额</w:t>
      </w:r>
      <w:r>
        <w:rPr>
          <w:rFonts w:hint="eastAsia" w:asciiTheme="minorEastAsia" w:hAnsiTheme="minorEastAsia" w:cstheme="minorEastAsia"/>
          <w:b/>
          <w:szCs w:val="21"/>
        </w:rPr>
        <w:t xml:space="preserve"> </w:t>
      </w:r>
      <w:r>
        <w:rPr>
          <w:rFonts w:hint="eastAsia" w:asciiTheme="minorEastAsia" w:hAnsiTheme="minorEastAsia" w:cstheme="minorEastAsia"/>
          <w:szCs w:val="21"/>
        </w:rPr>
        <w:t>：</w:t>
      </w:r>
      <w:r>
        <w:rPr>
          <w:rFonts w:hint="eastAsia" w:asciiTheme="minorEastAsia" w:hAnsiTheme="minorEastAsia" w:cstheme="minorEastAsia"/>
          <w:bCs/>
          <w:szCs w:val="21"/>
        </w:rPr>
        <w:t xml:space="preserve">指境外企业按照投资所在国家或者地区的法律规定实际缴纳的各项税金之和。  </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
          <w:szCs w:val="21"/>
        </w:rPr>
        <w:t>21、通过境外企业再投资：</w:t>
      </w:r>
      <w:r>
        <w:rPr>
          <w:rFonts w:hint="eastAsia" w:asciiTheme="minorEastAsia" w:hAnsiTheme="minorEastAsia" w:cstheme="minorEastAsia"/>
          <w:bCs/>
          <w:szCs w:val="21"/>
        </w:rPr>
        <w:t>指我国境内投资者通过对外直接投资企业向第三地转移投资方式而在最终目的地国家形成的各类投资。第三地是指中国大陆和对外直接投资的首个目的地以外的国家（地区），包括投资企业延伸链条的所有国家（地区）。</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b/>
          <w:bCs/>
          <w:szCs w:val="21"/>
        </w:rPr>
        <w:t>22、并购：</w:t>
      </w:r>
      <w:r>
        <w:rPr>
          <w:rFonts w:hint="eastAsia" w:asciiTheme="minorEastAsia" w:hAnsiTheme="minorEastAsia" w:cstheme="minorEastAsia"/>
          <w:szCs w:val="21"/>
        </w:rPr>
        <w:t>是兼并和收购的总称。 兼并指境内投资者（或通过其直接投资设立的境外企业）在国（境）外合并其他境外独立企业的行为。收购指境内投资者（或通过其直接投资设立的境外企业）在国（境）外用现金或者有价证券等方式购买境外实体企业（包括项目）的股票或者资产，以获得对该企业（或项目）的全部资产或者某项资产的所有权，或对该企业的控制权。</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并购事项的统计界定：</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（1）境内投资者直接与卖方签订并购境外实体企业（或项目）协议以及实施并购的行为活动纳入并购事项统计。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（2）境内投资者通过其境外企业与卖方签订并购企业（或项目）协议以及实施并购的行为活动纳入并购事项统计。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（3）境内投资者之间的境外企业股权转让不纳入并购事项统计。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上述（1）中所涉及并购企业（或项目）的最终控股比例不得小于10%；（2）中所涉及并购事项不受最终控股比例限制。</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
          <w:szCs w:val="21"/>
        </w:rPr>
        <w:t>23、实际交易额</w:t>
      </w:r>
      <w:r>
        <w:rPr>
          <w:rFonts w:hint="eastAsia" w:asciiTheme="minorEastAsia" w:hAnsiTheme="minorEastAsia" w:cstheme="minorEastAsia"/>
          <w:szCs w:val="21"/>
        </w:rPr>
        <w:t>：</w:t>
      </w:r>
      <w:r>
        <w:rPr>
          <w:rFonts w:hint="eastAsia" w:asciiTheme="minorEastAsia" w:hAnsiTheme="minorEastAsia" w:cstheme="minorEastAsia"/>
          <w:bCs/>
          <w:szCs w:val="21"/>
        </w:rPr>
        <w:t>指根据收购协议境内投资者（或其境外企业）实际支付给卖方的各种资金总和。</w:t>
      </w:r>
    </w:p>
    <w:p>
      <w:pPr>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24、</w:t>
      </w:r>
      <w:r>
        <w:rPr>
          <w:rFonts w:hint="eastAsia" w:asciiTheme="minorEastAsia" w:hAnsiTheme="minorEastAsia" w:cstheme="minorEastAsia"/>
          <w:b/>
          <w:szCs w:val="21"/>
        </w:rPr>
        <w:t>从业人员期末人数：</w:t>
      </w:r>
      <w:r>
        <w:rPr>
          <w:rFonts w:hint="eastAsia" w:asciiTheme="minorEastAsia" w:hAnsiTheme="minorEastAsia" w:cstheme="minorEastAsia"/>
          <w:szCs w:val="21"/>
        </w:rPr>
        <w:t>指报告期末在境外企业从事一定的劳动并取得劳动报酬的全部人员数量。</w:t>
      </w:r>
    </w:p>
    <w:p>
      <w:pPr>
        <w:spacing w:line="400" w:lineRule="exact"/>
        <w:ind w:left="-44" w:leftChars="-21" w:firstLine="464"/>
        <w:rPr>
          <w:rFonts w:asciiTheme="minorEastAsia" w:hAnsiTheme="minorEastAsia" w:cstheme="minorEastAsia"/>
          <w:szCs w:val="21"/>
        </w:rPr>
      </w:pPr>
      <w:r>
        <w:rPr>
          <w:rFonts w:hint="eastAsia" w:asciiTheme="minorEastAsia" w:hAnsiTheme="minorEastAsia" w:cstheme="minorEastAsia"/>
          <w:b/>
          <w:bCs/>
          <w:szCs w:val="21"/>
        </w:rPr>
        <w:t>25、农业对外投资合作：</w:t>
      </w:r>
      <w:r>
        <w:rPr>
          <w:rFonts w:hint="eastAsia" w:asciiTheme="minorEastAsia" w:hAnsiTheme="minorEastAsia" w:cstheme="minorEastAsia"/>
          <w:szCs w:val="21"/>
        </w:rPr>
        <w:t>指境内投资者通过直接投资或再投资方式拥有、控制国（境）外农业类境外企业或项目的活动。</w:t>
      </w:r>
    </w:p>
    <w:p>
      <w:pPr>
        <w:spacing w:line="400" w:lineRule="exact"/>
        <w:ind w:firstLine="415" w:firstLineChars="198"/>
        <w:rPr>
          <w:rFonts w:asciiTheme="minorEastAsia" w:hAnsiTheme="minorEastAsia" w:cstheme="minorEastAsia"/>
          <w:spacing w:val="8"/>
          <w:szCs w:val="21"/>
        </w:rPr>
      </w:pPr>
      <w:r>
        <w:rPr>
          <w:rFonts w:hint="eastAsia" w:asciiTheme="minorEastAsia" w:hAnsiTheme="minorEastAsia" w:cstheme="minorEastAsia"/>
          <w:b/>
          <w:bCs/>
          <w:szCs w:val="21"/>
        </w:rPr>
        <w:t>26、自有资金：</w:t>
      </w:r>
      <w:r>
        <w:rPr>
          <w:rFonts w:hint="eastAsia" w:asciiTheme="minorEastAsia" w:hAnsiTheme="minorEastAsia" w:cstheme="minorEastAsia"/>
          <w:spacing w:val="8"/>
          <w:szCs w:val="21"/>
        </w:rPr>
        <w:t>是指境内投资者（或境外企业）为进行生产经营活动所经常持有，可以自行支配使用并毋须偿还的那部分资金。</w:t>
      </w:r>
    </w:p>
    <w:p>
      <w:pPr>
        <w:spacing w:line="400" w:lineRule="exact"/>
        <w:ind w:firstLine="452" w:firstLineChars="200"/>
        <w:rPr>
          <w:rFonts w:asciiTheme="minorEastAsia" w:hAnsiTheme="minorEastAsia" w:cstheme="minorEastAsia"/>
          <w:szCs w:val="21"/>
        </w:rPr>
      </w:pPr>
      <w:r>
        <w:rPr>
          <w:rFonts w:hint="eastAsia" w:asciiTheme="minorEastAsia" w:hAnsiTheme="minorEastAsia" w:cstheme="minorEastAsia"/>
          <w:b/>
          <w:spacing w:val="8"/>
          <w:szCs w:val="21"/>
        </w:rPr>
        <w:t>27、</w:t>
      </w:r>
      <w:r>
        <w:rPr>
          <w:rFonts w:hint="eastAsia" w:asciiTheme="minorEastAsia" w:hAnsiTheme="minorEastAsia" w:cstheme="minorEastAsia"/>
          <w:b/>
          <w:szCs w:val="21"/>
        </w:rPr>
        <w:t>文化及相关产业：</w:t>
      </w:r>
      <w:r>
        <w:rPr>
          <w:rFonts w:hint="eastAsia" w:asciiTheme="minorEastAsia" w:hAnsiTheme="minorEastAsia" w:cstheme="minorEastAsia"/>
          <w:szCs w:val="21"/>
        </w:rPr>
        <w:t>依据国家统计局《文化及相关产业分类(2018)》,指为社会公众提供文化产品和文化相关产品的生产活动的集合。具体范围包括：（</w:t>
      </w:r>
      <w:r>
        <w:rPr>
          <w:rFonts w:hint="eastAsia" w:asciiTheme="minorEastAsia" w:hAnsiTheme="minorEastAsia" w:cstheme="minorEastAsia"/>
          <w:color w:val="000000"/>
          <w:spacing w:val="-4"/>
          <w:szCs w:val="21"/>
        </w:rPr>
        <w:t>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spacing w:line="400" w:lineRule="exact"/>
        <w:ind w:firstLine="452" w:firstLineChars="200"/>
        <w:rPr>
          <w:rFonts w:asciiTheme="minorEastAsia" w:hAnsiTheme="minorEastAsia" w:cstheme="minorEastAsia"/>
          <w:szCs w:val="21"/>
        </w:rPr>
      </w:pPr>
      <w:r>
        <w:rPr>
          <w:rFonts w:hint="eastAsia" w:asciiTheme="minorEastAsia" w:hAnsiTheme="minorEastAsia" w:cstheme="minorEastAsia"/>
          <w:b/>
          <w:spacing w:val="8"/>
          <w:szCs w:val="21"/>
        </w:rPr>
        <w:t>28、剩余经济可采储量：</w:t>
      </w:r>
      <w:r>
        <w:rPr>
          <w:rFonts w:hint="eastAsia" w:asciiTheme="minorEastAsia" w:hAnsiTheme="minorEastAsia" w:cstheme="minorEastAsia"/>
          <w:szCs w:val="21"/>
        </w:rPr>
        <w:t>是指经过经济评价认定、在评价期内具有商业效益的可采储量，扣减报告期末累计开采量的剩余值。</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b/>
          <w:szCs w:val="21"/>
        </w:rPr>
        <w:t>29、权益产量等于中方所占份额百分比乘以总产量。</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
          <w:szCs w:val="21"/>
        </w:rPr>
        <w:t>30、境外经济贸易合作区</w:t>
      </w:r>
      <w:r>
        <w:rPr>
          <w:rFonts w:hint="eastAsia" w:asciiTheme="minorEastAsia" w:hAnsiTheme="minorEastAsia" w:cstheme="minorEastAsia"/>
          <w:szCs w:val="21"/>
        </w:rPr>
        <w:t>：指在中国内地注册、具有独立法人资格的中资控股企业，通过在境外设立的中资控股的独立法人机构，投资建设的基础设施完备、主导产业明确、公共服务功能健全、具有集聚和辐射效应的产业园区。</w:t>
      </w:r>
    </w:p>
    <w:p>
      <w:pPr>
        <w:jc w:val="center"/>
        <w:rPr>
          <w:rFonts w:asciiTheme="minorEastAsia" w:hAnsiTheme="minorEastAsia" w:cstheme="minorEastAsia"/>
          <w:b/>
          <w:spacing w:val="8"/>
          <w:sz w:val="28"/>
          <w:szCs w:val="28"/>
        </w:rPr>
      </w:pPr>
      <w:r>
        <w:br w:type="page"/>
      </w:r>
      <w:r>
        <w:rPr>
          <w:rFonts w:hint="eastAsia" w:asciiTheme="minorEastAsia" w:hAnsiTheme="minorEastAsia" w:cstheme="minorEastAsia"/>
          <w:b/>
          <w:sz w:val="28"/>
          <w:szCs w:val="28"/>
        </w:rPr>
        <w:t>（二）主要概念界定</w:t>
      </w:r>
    </w:p>
    <w:p>
      <w:pPr>
        <w:spacing w:line="400" w:lineRule="exact"/>
        <w:rPr>
          <w:rFonts w:asciiTheme="minorEastAsia" w:hAnsiTheme="minorEastAsia" w:cstheme="minorEastAsia"/>
          <w:b/>
          <w:szCs w:val="21"/>
        </w:rPr>
      </w:pPr>
      <w:r>
        <w:rPr>
          <w:rFonts w:hint="eastAsia" w:asciiTheme="minorEastAsia" w:hAnsiTheme="minorEastAsia" w:cstheme="minorEastAsia"/>
          <w:b/>
          <w:szCs w:val="21"/>
        </w:rPr>
        <w:t>1、装备制造业的界定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装备制造业是指为国民经济各部门简单再生产和扩大再生产提供技术装备的各制造工业的总称，其产业范围包括机械工业(含航空、航天、船舶和兵器等制造行业)和电子工业中的投资类产品。包括通用设备制造业、专用设备制造业、金属制品业、汽车制造业、铁路/船舶/航空航天和其他运输设备制造业、电气机械和器材制造业、计算机/通信和其他电子设备制造业、仪器仪表制造业等。</w:t>
      </w:r>
    </w:p>
    <w:p>
      <w:pPr>
        <w:spacing w:line="400" w:lineRule="exact"/>
        <w:rPr>
          <w:rFonts w:asciiTheme="minorEastAsia" w:hAnsiTheme="minorEastAsia" w:cstheme="minorEastAsia"/>
          <w:b/>
          <w:spacing w:val="8"/>
        </w:rPr>
      </w:pPr>
      <w:r>
        <w:rPr>
          <w:rFonts w:hint="eastAsia" w:asciiTheme="minorEastAsia" w:hAnsiTheme="minorEastAsia" w:cstheme="minorEastAsia"/>
          <w:b/>
          <w:spacing w:val="8"/>
        </w:rPr>
        <w:t>2、境外企业年度生产能力界定</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境外钢铁企业按年度钢铁厂钢材产量计算，单位万吨；</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水泥企业按年度各种水泥的累计产量计算，单位万吨；</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平板玻璃生产企业按各种玻璃的产量计算，单位万重量箱；</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电力生产企业按发电装机容量计算，单位万千瓦；</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汽车生产企业分别按乘用车（包括轿车、MPV、SUV、交叉型乘用车）、载货汽车（包括重型、中型、轻型、微型载货车）、客车（包括大、中、轻型客车）和其他汽车（半挂牵引车等）年度生产数量计算，单位辆。</w:t>
      </w:r>
    </w:p>
    <w:p>
      <w:pPr>
        <w:spacing w:line="400" w:lineRule="exact"/>
        <w:rPr>
          <w:rFonts w:asciiTheme="minorEastAsia" w:hAnsiTheme="minorEastAsia" w:cstheme="minorEastAsia"/>
          <w:b/>
          <w:szCs w:val="21"/>
        </w:rPr>
      </w:pPr>
      <w:r>
        <w:rPr>
          <w:rFonts w:hint="eastAsia" w:asciiTheme="minorEastAsia" w:hAnsiTheme="minorEastAsia" w:cstheme="minorEastAsia"/>
          <w:b/>
          <w:szCs w:val="21"/>
        </w:rPr>
        <w:t>3、境外经贸合作区类型界定</w:t>
      </w:r>
    </w:p>
    <w:p>
      <w:pPr>
        <w:spacing w:line="400" w:lineRule="exact"/>
        <w:rPr>
          <w:rFonts w:asciiTheme="minorEastAsia" w:hAnsiTheme="minorEastAsia" w:cstheme="minorEastAsia"/>
          <w:szCs w:val="21"/>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（1）加工制造型：指以轻工、纺织、机械、电子、化工、建材等产品加工为主导的园区。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（2）资源利用型：指以矿产、森林、油气等资源开发、加工和综合利用等为主的园区。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（3）农业产业型：指以谷物和经济作物等的开发、加工、收购、仓储等为主导园区。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（4）商贸物流型：指以商品展示、运输、仓储、集散、配送、信息处理、流通加工等为主导的园区。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（5）科技研发型：指以轨道交通、汽车、通信、工程机械、航天航空、船舶和海洋工程等领域的高新技术及产品的研发、设计、实验、试制为主导的园区。</w:t>
      </w:r>
    </w:p>
    <w:p>
      <w:pPr>
        <w:spacing w:line="400" w:lineRule="exact"/>
        <w:rPr>
          <w:rFonts w:asciiTheme="minorEastAsia" w:hAnsiTheme="minorEastAsia" w:cstheme="minorEastAsia"/>
          <w:b/>
          <w:szCs w:val="21"/>
        </w:rPr>
      </w:pPr>
      <w:r>
        <w:rPr>
          <w:rFonts w:hint="eastAsia" w:asciiTheme="minorEastAsia" w:hAnsiTheme="minorEastAsia" w:cstheme="minorEastAsia"/>
          <w:b/>
          <w:szCs w:val="21"/>
        </w:rPr>
        <w:t>4、统计原则的界定</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（1）国家(地区)的统计界定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对外直接投资的国家(地区)按首个投资目的国家（地区)进行统计。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（2）境内投资者与境外企业的行业分类的界定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境内投资者根据中华人民共和国《国民经济行业分类》(GB/T 4754-2017，见附录一)，按销售收入份额最大的产品的所属行业确定其行业类别。</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Cs/>
          <w:szCs w:val="21"/>
        </w:rPr>
        <w:t>境外企业分类参照中华人民共和国《国民经济行业分类》(GB/T 4754-2017)执行。</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（3）货币转换和计价原则</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调查表(FDIN1表)，填报的内容以人民币为货币单位；其余报表的金额单位均以美元作为统一货币单位。以非美元计价的，须按照国家外汇管理局制定的《各种货币对美元内部统一折算率表》规定的折算率折合为美元，年度数据以报告期最后一个交易日汇率计算，月度数据按交易当日汇率计算。</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经营活动有关指标(如：营业收入、出口总值、进口总值等)按实际交易价即以市场价值作为计价基础；资产、负债、权益等存量指标按帐面价值计算。</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（4）报告年份的界定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本制度各项统计报表数据均按公历年度上报；以财政年度反映的境外企业的数据须调整为公历年度或按最近一期财政年度报表的数据填报，并在报表中</w:t>
      </w:r>
      <w:r>
        <w:rPr>
          <w:rFonts w:hint="eastAsia" w:asciiTheme="minorEastAsia" w:hAnsiTheme="minorEastAsia" w:cstheme="minorEastAsia"/>
          <w:szCs w:val="21"/>
        </w:rPr>
        <w:t>加以</w:t>
      </w:r>
      <w:r>
        <w:rPr>
          <w:rFonts w:hint="eastAsia" w:asciiTheme="minorEastAsia" w:hAnsiTheme="minorEastAsia" w:cstheme="minorEastAsia"/>
          <w:bCs/>
          <w:szCs w:val="21"/>
        </w:rPr>
        <w:t>说明。</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（5）分支机构的统计界定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境内投资者在国（境）外设立的机构有下列情形之一的，纳入对外直接投资分支机构统计范畴：</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 xml:space="preserve">A:有独立财务帐户并在当地有登记。 </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B:在当地拥有土地、建筑物等不可移动资产所有权（不包括本国政府在当地拥有的土地和建筑如大使馆、领事馆、军事基地、科研设施、信息或移民部门、援助机构等）。</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C:境内投资者直接承担国（境）外工程项目建设，在项目所在国设立一年以上的办公室（注册或非注册）并存在完整、独立的活动帐户。</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如境内投资者在国(境)外承担的水坝、电站、桥梁等大型工程建设项目，大多数情况下，由未在当地登记的办公室（经理办、代表处、项目部）实施和管理项目，已构成生产经营属性，属于国际标准意义的直接投资活动。</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D：拥有移动设备（如船舶、航空器、天然气和石油钻探设备、铁路车辆等）并经营至少一年。</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对境外分支机构的直接投资额（流量、存量）可按照新增或期末“所有者权益合计+对境内主体的负债”计算生成。</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（6）其他统计界定</w:t>
      </w:r>
    </w:p>
    <w:p>
      <w:pPr>
        <w:pStyle w:val="2"/>
        <w:spacing w:line="400" w:lineRule="exact"/>
        <w:ind w:firstLineChars="200"/>
        <w:rPr>
          <w:rFonts w:asciiTheme="minorEastAsia" w:hAnsiTheme="minorEastAsia" w:cstheme="minorEastAsia"/>
          <w:bCs/>
          <w:szCs w:val="21"/>
        </w:rPr>
      </w:pPr>
      <w:r>
        <w:rPr>
          <w:rFonts w:hint="eastAsia" w:asciiTheme="minorEastAsia" w:hAnsiTheme="minorEastAsia" w:cstheme="minorEastAsia"/>
          <w:bCs/>
          <w:szCs w:val="21"/>
        </w:rPr>
        <w:t>A凡境内投资者在境外企业中拥有或控制10%或以上的投票权(对公司型企业)或其他等价利益(对非公司型企业)的投资，均计入对外直接投资统计。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Cs/>
          <w:szCs w:val="21"/>
        </w:rPr>
        <w:t>B.子公司获得由境内直接投资者担保的借款，不计入对外直接投资统计。</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C.参加国际组织的投资不计入对外直接投资统计。</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D.以提供技术并收取管理费的跨境服务不计入对外直接投资统计。</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E.境外企业若被其他国家企业收（并）购，记作境内投资者对外直接投资的减少。</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F. 若境外企业中有多家境内投资者，且均拥有10%以上的股份，可作为上报单位分别报送按股权比例计算的相应指标。</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G．境外企业对境内投资者投资控股比例大于或等于10%不计入反向投资。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H.报告年度通过追加投资等方式达到控制企业10%或以上的投票权的境外企业纳入报告年度的对外直接投资统计，追加投资金额记作当期的对外直接投资的增加，期末对外直接投资存量按其持股比例计算的所有者权益合计部分计算。</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I.境内投资者之间以股权置换的方式获得境外企业10%以上股权记入当期对外直接投资的增加，由于股权置换而丧失或减少境外企业股权，记入当期对外直接投资的减少。</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J.境内银行（或存款公司）放在其境外支行或子公司内的存款不属于直接投资。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K.境内银行（或存款公司）通过境外支行或子公司吸收的存款不属于直接投资。</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bCs/>
          <w:szCs w:val="21"/>
        </w:rPr>
        <w:t>L.境内保险公司在境外设立的保险公司的技术储备（即：为防范现有风险的实际储备，提前支付的保费，赢利保险业务储备，以及未决索赔的准备金）不属于直接投资。</w:t>
      </w:r>
    </w:p>
    <w:p>
      <w:pPr>
        <w:spacing w:line="400" w:lineRule="exact"/>
        <w:rPr>
          <w:rFonts w:asciiTheme="minorEastAsia" w:hAnsiTheme="minorEastAsia" w:cstheme="minorEastAsia"/>
        </w:rPr>
        <w:sectPr>
          <w:footerReference r:id="rId4" w:type="first"/>
          <w:footerReference r:id="rId3" w:type="default"/>
          <w:pgSz w:w="11906" w:h="16838"/>
          <w:pgMar w:top="1304" w:right="1227" w:bottom="1304" w:left="1219" w:header="851" w:footer="992" w:gutter="0"/>
          <w:pgNumType w:start="5"/>
          <w:cols w:space="425" w:num="1"/>
          <w:titlePg/>
          <w:docGrid w:type="linesAndChars" w:linePitch="312" w:charSpace="0"/>
        </w:sectPr>
      </w:pPr>
    </w:p>
    <w:p>
      <w:pPr>
        <w:jc w:val="center"/>
        <w:rPr>
          <w:rFonts w:ascii="黑体" w:eastAsia="黑体"/>
          <w:sz w:val="32"/>
          <w:szCs w:val="32"/>
        </w:rPr>
      </w:pPr>
      <w:r>
        <w:rPr>
          <w:rFonts w:hint="eastAsia" w:ascii="黑体" w:eastAsia="黑体"/>
          <w:sz w:val="32"/>
          <w:szCs w:val="32"/>
        </w:rPr>
        <w:t>五、附 录</w:t>
      </w:r>
    </w:p>
    <w:p>
      <w:pPr>
        <w:jc w:val="center"/>
        <w:rPr>
          <w:rFonts w:ascii="宋体" w:hAnsi="宋体"/>
          <w:bCs/>
          <w:sz w:val="32"/>
          <w:szCs w:val="32"/>
        </w:rPr>
      </w:pPr>
      <w:r>
        <w:rPr>
          <w:rFonts w:hint="eastAsia" w:ascii="宋体" w:hAnsi="宋体"/>
          <w:bCs/>
          <w:sz w:val="32"/>
          <w:szCs w:val="32"/>
        </w:rPr>
        <w:t>（一）国民经济行业分类目录（GB/T 4754-2017）</w:t>
      </w:r>
    </w:p>
    <w:tbl>
      <w:tblPr>
        <w:tblStyle w:val="11"/>
        <w:tblW w:w="9586" w:type="dxa"/>
        <w:tblInd w:w="-34" w:type="dxa"/>
        <w:tblLayout w:type="fixed"/>
        <w:tblCellMar>
          <w:top w:w="0" w:type="dxa"/>
          <w:left w:w="108" w:type="dxa"/>
          <w:bottom w:w="0" w:type="dxa"/>
          <w:right w:w="108" w:type="dxa"/>
        </w:tblCellMar>
      </w:tblPr>
      <w:tblGrid>
        <w:gridCol w:w="1100"/>
        <w:gridCol w:w="3994"/>
        <w:gridCol w:w="1035"/>
        <w:gridCol w:w="3457"/>
      </w:tblGrid>
      <w:tr>
        <w:tblPrEx>
          <w:tblLayout w:type="fixed"/>
          <w:tblCellMar>
            <w:top w:w="0" w:type="dxa"/>
            <w:left w:w="108" w:type="dxa"/>
            <w:bottom w:w="0" w:type="dxa"/>
            <w:right w:w="108" w:type="dxa"/>
          </w:tblCellMar>
        </w:tblPrEx>
        <w:trPr>
          <w:trHeight w:val="285" w:hRule="atLeast"/>
        </w:trPr>
        <w:tc>
          <w:tcPr>
            <w:tcW w:w="1100" w:type="dxa"/>
            <w:tcBorders>
              <w:top w:val="single" w:color="auto" w:sz="8" w:space="0"/>
              <w:left w:val="nil"/>
              <w:bottom w:val="single" w:color="auto" w:sz="8" w:space="0"/>
              <w:right w:val="single" w:color="auto" w:sz="2" w:space="0"/>
            </w:tcBorders>
            <w:shd w:val="clear" w:color="auto" w:fill="auto"/>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 xml:space="preserve"> 行业大类代码</w:t>
            </w:r>
          </w:p>
        </w:tc>
        <w:tc>
          <w:tcPr>
            <w:tcW w:w="3994" w:type="dxa"/>
            <w:tcBorders>
              <w:top w:val="single" w:color="auto" w:sz="8" w:space="0"/>
              <w:left w:val="single" w:color="auto" w:sz="2" w:space="0"/>
              <w:bottom w:val="single" w:color="auto" w:sz="8" w:space="0"/>
              <w:right w:val="single" w:color="auto" w:sz="2" w:space="0"/>
            </w:tcBorders>
            <w:shd w:val="clear" w:color="auto" w:fill="auto"/>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类别名称</w:t>
            </w:r>
          </w:p>
        </w:tc>
        <w:tc>
          <w:tcPr>
            <w:tcW w:w="1035" w:type="dxa"/>
            <w:tcBorders>
              <w:top w:val="single" w:color="auto" w:sz="8" w:space="0"/>
              <w:left w:val="single" w:color="auto" w:sz="2" w:space="0"/>
              <w:bottom w:val="single" w:color="auto" w:sz="8" w:space="0"/>
              <w:right w:val="single" w:color="auto" w:sz="2" w:space="0"/>
            </w:tcBorders>
            <w:shd w:val="clear" w:color="auto" w:fill="auto"/>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 xml:space="preserve"> 行业大类代码</w:t>
            </w:r>
          </w:p>
        </w:tc>
        <w:tc>
          <w:tcPr>
            <w:tcW w:w="3457" w:type="dxa"/>
            <w:tcBorders>
              <w:top w:val="single" w:color="auto" w:sz="8" w:space="0"/>
              <w:left w:val="single" w:color="auto" w:sz="2" w:space="0"/>
              <w:bottom w:val="single" w:color="auto" w:sz="8" w:space="0"/>
              <w:right w:val="nil"/>
            </w:tcBorders>
            <w:shd w:val="clear" w:color="auto" w:fill="auto"/>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类别名称</w:t>
            </w:r>
          </w:p>
        </w:tc>
      </w:tr>
      <w:tr>
        <w:tblPrEx>
          <w:tblLayout w:type="fixed"/>
          <w:tblCellMar>
            <w:top w:w="0" w:type="dxa"/>
            <w:left w:w="108" w:type="dxa"/>
            <w:bottom w:w="0" w:type="dxa"/>
            <w:right w:w="108" w:type="dxa"/>
          </w:tblCellMar>
        </w:tblPrEx>
        <w:trPr>
          <w:trHeight w:val="285" w:hRule="atLeast"/>
        </w:trPr>
        <w:tc>
          <w:tcPr>
            <w:tcW w:w="1100" w:type="dxa"/>
            <w:tcBorders>
              <w:top w:val="single" w:color="auto" w:sz="8" w:space="0"/>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A</w:t>
            </w:r>
          </w:p>
        </w:tc>
        <w:tc>
          <w:tcPr>
            <w:tcW w:w="3994" w:type="dxa"/>
            <w:tcBorders>
              <w:top w:val="single" w:color="auto" w:sz="8" w:space="0"/>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农、林、牧、渔业</w:t>
            </w:r>
          </w:p>
        </w:tc>
        <w:tc>
          <w:tcPr>
            <w:tcW w:w="1035" w:type="dxa"/>
            <w:tcBorders>
              <w:top w:val="single" w:color="auto" w:sz="8" w:space="0"/>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G</w:t>
            </w:r>
          </w:p>
        </w:tc>
        <w:tc>
          <w:tcPr>
            <w:tcW w:w="3457" w:type="dxa"/>
            <w:tcBorders>
              <w:top w:val="single" w:color="auto" w:sz="8" w:space="0"/>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交通运输、仓储和邮政业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农业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铁路运输业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林业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道路运输业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畜牧业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水上运输业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渔业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航空运输业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农、林、牧、渔专业及辅助性活动</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管道运输业</w:t>
            </w:r>
          </w:p>
        </w:tc>
      </w:tr>
      <w:tr>
        <w:tblPrEx>
          <w:tblLayout w:type="fixed"/>
          <w:tblCellMar>
            <w:top w:w="0" w:type="dxa"/>
            <w:left w:w="108" w:type="dxa"/>
            <w:bottom w:w="0" w:type="dxa"/>
            <w:right w:w="108" w:type="dxa"/>
          </w:tblCellMar>
        </w:tblPrEx>
        <w:trPr>
          <w:trHeight w:val="345" w:hRule="atLeast"/>
        </w:trPr>
        <w:tc>
          <w:tcPr>
            <w:tcW w:w="1100" w:type="dxa"/>
            <w:tcBorders>
              <w:top w:val="nil"/>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B</w:t>
            </w:r>
          </w:p>
        </w:tc>
        <w:tc>
          <w:tcPr>
            <w:tcW w:w="3994" w:type="dxa"/>
            <w:tcBorders>
              <w:top w:val="nil"/>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采矿业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多式联运和运输代理业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煤炭开采和洗选业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装卸搬运和仓储业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石油和天然气开采业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邮政业</w:t>
            </w:r>
          </w:p>
        </w:tc>
      </w:tr>
      <w:tr>
        <w:tblPrEx>
          <w:tblLayout w:type="fixed"/>
          <w:tblCellMar>
            <w:top w:w="0" w:type="dxa"/>
            <w:left w:w="108" w:type="dxa"/>
            <w:bottom w:w="0" w:type="dxa"/>
            <w:right w:w="108" w:type="dxa"/>
          </w:tblCellMar>
        </w:tblPrEx>
        <w:trPr>
          <w:trHeight w:val="390"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黑色金属矿采选业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H</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住宿和餐饮业</w:t>
            </w:r>
          </w:p>
        </w:tc>
      </w:tr>
      <w:tr>
        <w:tblPrEx>
          <w:tblLayout w:type="fixed"/>
          <w:tblCellMar>
            <w:top w:w="0" w:type="dxa"/>
            <w:left w:w="108" w:type="dxa"/>
            <w:bottom w:w="0" w:type="dxa"/>
            <w:right w:w="108" w:type="dxa"/>
          </w:tblCellMar>
        </w:tblPrEx>
        <w:trPr>
          <w:trHeight w:val="330"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有色金属矿采选业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住宿业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非金属矿采选业  </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餐饮业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开采专业及辅助性活动</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I</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信息传输、软件和信息技术服务业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其他采矿业  </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电信、广播电视和卫星传输服务</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C</w:t>
            </w:r>
          </w:p>
        </w:tc>
        <w:tc>
          <w:tcPr>
            <w:tcW w:w="3994" w:type="dxa"/>
            <w:tcBorders>
              <w:top w:val="nil"/>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互联网和相关服务</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农副食品加工业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软件和信息技术服务业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食品制造业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J</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金融业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酒、饮料和精制茶制造业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货币金融服务</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烟草制品业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资本市场服务</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纺织业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保险业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纺织服装、服饰业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其他金融业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皮革、毛皮、羽毛及其制品和制鞋业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K</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房地产业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94" w:type="dxa"/>
            <w:tcBorders>
              <w:top w:val="nil"/>
              <w:left w:val="single" w:color="auto" w:sz="2" w:space="0"/>
              <w:bottom w:val="nil"/>
              <w:right w:val="single" w:color="auto" w:sz="4" w:space="0"/>
            </w:tcBorders>
            <w:shd w:val="clear" w:color="auto" w:fill="auto"/>
          </w:tcPr>
          <w:p>
            <w:pPr>
              <w:widowControl/>
              <w:ind w:right="-55" w:rightChars="-26" w:firstLine="192" w:firstLineChars="107"/>
              <w:jc w:val="left"/>
              <w:rPr>
                <w:rFonts w:ascii="宋体" w:hAnsi="宋体" w:cs="宋体"/>
                <w:kern w:val="0"/>
                <w:sz w:val="18"/>
                <w:szCs w:val="18"/>
              </w:rPr>
            </w:pPr>
            <w:r>
              <w:rPr>
                <w:rFonts w:hint="eastAsia" w:ascii="宋体" w:hAnsi="宋体" w:cs="宋体"/>
                <w:kern w:val="0"/>
                <w:sz w:val="18"/>
                <w:szCs w:val="18"/>
              </w:rPr>
              <w:t>木材加工和木、竹、藤、棕、草制品业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房地产业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家具制造业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L</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租赁和商务服务业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造纸和纸制品业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租赁业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印刷和记录媒介复制业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商务服务业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文教、工美、体育和娱乐用品制造业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M</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科学研究和技术服务业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石油加工、煤炭及其他燃料加工业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研究和试验发展</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化学原料和化学制品制造业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专业技术服务业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医药制造业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科技推广和应用服务业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化学纤维制造业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N</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水利、环境和公共设施管理业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橡胶和塑料制品业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水利管理业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非金属矿物制品业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生态保护和环境治理业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黑色金属冶炼和压延加工业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公共设施管理业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有色金属冶炼和压延加工业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79</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土地管理业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金属制品业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O</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居民服务、修理和其他服务业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通用设备制造业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80</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居民服务业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专用设备制造业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81</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机动车、电子产品和日用产品修理业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汽车制造业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82</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其他服务业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铁路、船舶、航空航天和其他运输设备制造业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P</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教育</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电气机械和器材制造业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83</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教育</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计算机、通信和其他电子设备制造业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Q</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卫生和社会工作</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仪器仪表制造业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84</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卫生</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其他制造业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85</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社会工作</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废弃资源综合利用业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R</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文化、体育和娱乐业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金属制品、机械和设备修理业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86</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新闻和出版业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D</w:t>
            </w:r>
          </w:p>
        </w:tc>
        <w:tc>
          <w:tcPr>
            <w:tcW w:w="3994" w:type="dxa"/>
            <w:tcBorders>
              <w:top w:val="nil"/>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电力、热力、燃气及水的生产和供应业</w:t>
            </w:r>
          </w:p>
        </w:tc>
        <w:tc>
          <w:tcPr>
            <w:tcW w:w="1035" w:type="dxa"/>
            <w:tcBorders>
              <w:top w:val="nil"/>
              <w:left w:val="single" w:color="auto" w:sz="4" w:space="0"/>
              <w:bottom w:val="nil"/>
              <w:right w:val="single" w:color="auto" w:sz="2"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cs="宋体"/>
                <w:kern w:val="0"/>
                <w:sz w:val="18"/>
                <w:szCs w:val="18"/>
              </w:rPr>
              <w:t>87</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广播、电视、电影和录音制作业</w:t>
            </w:r>
          </w:p>
        </w:tc>
      </w:tr>
      <w:tr>
        <w:tblPrEx>
          <w:tblLayout w:type="fixed"/>
          <w:tblCellMar>
            <w:top w:w="0" w:type="dxa"/>
            <w:left w:w="108" w:type="dxa"/>
            <w:bottom w:w="0" w:type="dxa"/>
            <w:right w:w="108" w:type="dxa"/>
          </w:tblCellMar>
        </w:tblPrEx>
        <w:trPr>
          <w:trHeight w:val="21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电力、热力生产和供应业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88</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文化艺术业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燃气生产和供应业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89</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体育</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水的生产和供应业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90</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娱乐业</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E</w:t>
            </w:r>
          </w:p>
        </w:tc>
        <w:tc>
          <w:tcPr>
            <w:tcW w:w="3994" w:type="dxa"/>
            <w:tcBorders>
              <w:top w:val="nil"/>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建筑业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S</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公共管理、社会保障和社会组织</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房屋建筑业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91</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中国共产党机关</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土木工程建筑业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92</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国家机构</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建筑安装业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93</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人民政协、民主党派</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建筑装饰、装修和其他建筑业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94</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社会保障</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F</w:t>
            </w:r>
          </w:p>
        </w:tc>
        <w:tc>
          <w:tcPr>
            <w:tcW w:w="3994" w:type="dxa"/>
            <w:tcBorders>
              <w:top w:val="nil"/>
              <w:left w:val="single" w:color="auto" w:sz="2" w:space="0"/>
              <w:bottom w:val="nil"/>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批发和零售业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95</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群众团体、社会团体和其他成员组织</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批发业</w:t>
            </w:r>
          </w:p>
        </w:tc>
        <w:tc>
          <w:tcPr>
            <w:tcW w:w="1035" w:type="dxa"/>
            <w:tcBorders>
              <w:top w:val="nil"/>
              <w:left w:val="single" w:color="auto" w:sz="4" w:space="0"/>
              <w:bottom w:val="nil"/>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96</w:t>
            </w:r>
          </w:p>
        </w:tc>
        <w:tc>
          <w:tcPr>
            <w:tcW w:w="3457" w:type="dxa"/>
            <w:tcBorders>
              <w:top w:val="nil"/>
              <w:left w:val="single" w:color="auto" w:sz="2" w:space="0"/>
              <w:bottom w:val="nil"/>
              <w:right w:val="nil"/>
            </w:tcBorders>
            <w:shd w:val="clear" w:color="auto" w:fill="auto"/>
          </w:tcPr>
          <w:p>
            <w:pPr>
              <w:widowControl/>
              <w:ind w:firstLine="180" w:firstLineChars="100"/>
              <w:jc w:val="left"/>
              <w:rPr>
                <w:rFonts w:ascii="宋体" w:hAnsi="宋体" w:cs="宋体"/>
                <w:kern w:val="0"/>
                <w:sz w:val="18"/>
                <w:szCs w:val="18"/>
              </w:rPr>
            </w:pPr>
            <w:r>
              <w:rPr>
                <w:rFonts w:hint="eastAsia"/>
                <w:color w:val="333333"/>
                <w:sz w:val="18"/>
                <w:szCs w:val="18"/>
              </w:rPr>
              <w:t>基层群众自治组织及其他组织</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3994" w:type="dxa"/>
            <w:tcBorders>
              <w:top w:val="nil"/>
              <w:left w:val="single" w:color="auto" w:sz="2" w:space="0"/>
              <w:bottom w:val="nil"/>
              <w:right w:val="single" w:color="auto"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零售业</w:t>
            </w:r>
          </w:p>
        </w:tc>
        <w:tc>
          <w:tcPr>
            <w:tcW w:w="1035" w:type="dxa"/>
            <w:tcBorders>
              <w:top w:val="nil"/>
              <w:left w:val="single" w:color="auto" w:sz="4" w:space="0"/>
              <w:bottom w:val="nil"/>
              <w:right w:val="single" w:color="auto" w:sz="2"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T</w:t>
            </w:r>
          </w:p>
        </w:tc>
        <w:tc>
          <w:tcPr>
            <w:tcW w:w="3457" w:type="dxa"/>
            <w:tcBorders>
              <w:top w:val="nil"/>
              <w:left w:val="single" w:color="auto" w:sz="2" w:space="0"/>
              <w:bottom w:val="nil"/>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国际组织</w:t>
            </w:r>
          </w:p>
        </w:tc>
      </w:tr>
      <w:tr>
        <w:tblPrEx>
          <w:tblLayout w:type="fixed"/>
          <w:tblCellMar>
            <w:top w:w="0" w:type="dxa"/>
            <w:left w:w="108" w:type="dxa"/>
            <w:bottom w:w="0" w:type="dxa"/>
            <w:right w:w="108" w:type="dxa"/>
          </w:tblCellMar>
        </w:tblPrEx>
        <w:trPr>
          <w:trHeight w:val="285" w:hRule="atLeast"/>
        </w:trPr>
        <w:tc>
          <w:tcPr>
            <w:tcW w:w="1100" w:type="dxa"/>
            <w:tcBorders>
              <w:top w:val="nil"/>
              <w:left w:val="nil"/>
              <w:bottom w:val="single" w:color="auto" w:sz="4" w:space="0"/>
              <w:right w:val="single" w:color="auto" w:sz="2" w:space="0"/>
            </w:tcBorders>
            <w:shd w:val="clear" w:color="auto" w:fill="auto"/>
          </w:tcPr>
          <w:p>
            <w:pPr>
              <w:widowControl/>
              <w:jc w:val="center"/>
              <w:rPr>
                <w:rFonts w:ascii="宋体" w:hAnsi="宋体" w:cs="宋体"/>
                <w:kern w:val="0"/>
                <w:sz w:val="18"/>
                <w:szCs w:val="18"/>
              </w:rPr>
            </w:pPr>
          </w:p>
        </w:tc>
        <w:tc>
          <w:tcPr>
            <w:tcW w:w="3994" w:type="dxa"/>
            <w:tcBorders>
              <w:top w:val="nil"/>
              <w:left w:val="single" w:color="auto" w:sz="2" w:space="0"/>
              <w:bottom w:val="single" w:color="auto" w:sz="4" w:space="0"/>
              <w:right w:val="single" w:color="auto" w:sz="2" w:space="0"/>
            </w:tcBorders>
            <w:shd w:val="clear" w:color="auto" w:fill="auto"/>
          </w:tcPr>
          <w:p>
            <w:pPr>
              <w:widowControl/>
              <w:ind w:firstLine="180" w:firstLineChars="100"/>
              <w:jc w:val="left"/>
              <w:rPr>
                <w:rFonts w:ascii="宋体" w:hAnsi="宋体" w:cs="宋体"/>
                <w:kern w:val="0"/>
                <w:sz w:val="18"/>
                <w:szCs w:val="18"/>
              </w:rPr>
            </w:pPr>
          </w:p>
        </w:tc>
        <w:tc>
          <w:tcPr>
            <w:tcW w:w="1035" w:type="dxa"/>
            <w:tcBorders>
              <w:top w:val="nil"/>
              <w:left w:val="single" w:color="auto" w:sz="2" w:space="0"/>
              <w:bottom w:val="single" w:color="auto" w:sz="4" w:space="0"/>
              <w:right w:val="single" w:color="auto" w:sz="2" w:space="0"/>
            </w:tcBorders>
            <w:shd w:val="clear" w:color="auto" w:fill="auto"/>
          </w:tcPr>
          <w:p>
            <w:pPr>
              <w:widowControl/>
              <w:jc w:val="center"/>
              <w:rPr>
                <w:rFonts w:ascii="宋体" w:hAnsi="宋体" w:eastAsia="宋体" w:cs="宋体"/>
                <w:kern w:val="0"/>
                <w:sz w:val="18"/>
                <w:szCs w:val="18"/>
              </w:rPr>
            </w:pPr>
            <w:r>
              <w:rPr>
                <w:rFonts w:hint="eastAsia" w:ascii="宋体" w:hAnsi="宋体" w:cs="宋体"/>
                <w:kern w:val="0"/>
                <w:sz w:val="18"/>
                <w:szCs w:val="18"/>
              </w:rPr>
              <w:t>97</w:t>
            </w:r>
          </w:p>
        </w:tc>
        <w:tc>
          <w:tcPr>
            <w:tcW w:w="3457" w:type="dxa"/>
            <w:tcBorders>
              <w:top w:val="nil"/>
              <w:left w:val="single" w:color="auto" w:sz="2" w:space="0"/>
              <w:bottom w:val="single" w:color="auto" w:sz="4" w:space="0"/>
              <w:right w:val="nil"/>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国际组织</w:t>
            </w:r>
          </w:p>
        </w:tc>
      </w:tr>
    </w:tbl>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b/>
          <w:sz w:val="32"/>
          <w:szCs w:val="32"/>
        </w:rPr>
      </w:pPr>
      <w:r>
        <w:rPr>
          <w:rFonts w:hint="eastAsia" w:ascii="宋体" w:hAnsi="宋体"/>
          <w:b/>
          <w:sz w:val="32"/>
          <w:szCs w:val="32"/>
        </w:rPr>
        <w:br w:type="page"/>
      </w:r>
    </w:p>
    <w:p>
      <w:pPr>
        <w:jc w:val="center"/>
        <w:rPr>
          <w:rFonts w:ascii="宋体" w:hAnsi="宋体"/>
          <w:b/>
          <w:sz w:val="32"/>
          <w:szCs w:val="32"/>
        </w:rPr>
      </w:pPr>
      <w:r>
        <w:rPr>
          <w:rFonts w:hint="eastAsia" w:ascii="宋体" w:hAnsi="宋体"/>
          <w:b/>
          <w:sz w:val="32"/>
          <w:szCs w:val="32"/>
        </w:rPr>
        <w:t>（二）关于划分企业登记注册类型的规定</w:t>
      </w:r>
    </w:p>
    <w:p>
      <w:pPr>
        <w:spacing w:line="400" w:lineRule="exact"/>
        <w:ind w:firstLine="420" w:firstLineChars="200"/>
        <w:jc w:val="left"/>
        <w:rPr>
          <w:rFonts w:ascii="宋体" w:hAnsi="宋体"/>
          <w:szCs w:val="20"/>
        </w:rPr>
      </w:pPr>
      <w:r>
        <w:rPr>
          <w:rFonts w:hint="eastAsia" w:ascii="宋体" w:hAnsi="宋体"/>
        </w:rPr>
        <w:t>第一条</w:t>
      </w:r>
      <w:r>
        <w:rPr>
          <w:rFonts w:ascii="宋体" w:hAnsi="宋体"/>
        </w:rPr>
        <w:t xml:space="preserve">  </w:t>
      </w:r>
      <w:r>
        <w:rPr>
          <w:rFonts w:hint="eastAsia" w:ascii="宋体" w:hAnsi="宋体"/>
        </w:rPr>
        <w:t>本规定以在工商行政管理机关登记注册的各类企业为划分对象。其他经济组织参照本规定执行。</w:t>
      </w:r>
    </w:p>
    <w:p>
      <w:pPr>
        <w:spacing w:line="400" w:lineRule="exact"/>
        <w:ind w:right="25" w:rightChars="12" w:firstLine="420" w:firstLineChars="200"/>
        <w:jc w:val="left"/>
        <w:rPr>
          <w:rFonts w:ascii="宋体" w:hAnsi="宋体"/>
          <w:szCs w:val="20"/>
        </w:rPr>
      </w:pPr>
      <w:r>
        <w:rPr>
          <w:rFonts w:hint="eastAsia" w:ascii="宋体" w:hAnsi="宋体"/>
        </w:rPr>
        <w:t>第二条</w:t>
      </w:r>
      <w:r>
        <w:rPr>
          <w:rFonts w:ascii="宋体" w:hAnsi="宋体"/>
        </w:rPr>
        <w:t xml:space="preserve">  </w:t>
      </w:r>
      <w:r>
        <w:rPr>
          <w:rFonts w:hint="eastAsia" w:ascii="宋体" w:hAnsi="宋体"/>
        </w:rPr>
        <w:t>本规定以工商行政管理部门对企业登记注册的类型为依据，将企业登记注册类型分为以下几种：内资企业：包括国有企业，集体企业，股份合作企业，联营企业，有限责任公司，股份有限公司，私营企业，其他企业；港、澳、台商投资企业：包括合资经营企业(港或澳、台资)，合作经营企业(港或澳、台资)，港、澳、台商独资经营企业，港、澳、台商投资股份有限公司；外商投资企业：包括中外合资经营企业，中外合作经营企业，外资企业，外商投资股份有限公司。</w:t>
      </w:r>
    </w:p>
    <w:p>
      <w:pPr>
        <w:spacing w:line="400" w:lineRule="exact"/>
        <w:ind w:firstLine="420" w:firstLineChars="200"/>
        <w:jc w:val="left"/>
        <w:rPr>
          <w:rFonts w:ascii="宋体" w:hAnsi="宋体"/>
          <w:szCs w:val="20"/>
        </w:rPr>
      </w:pPr>
      <w:r>
        <w:rPr>
          <w:rFonts w:hint="eastAsia" w:ascii="宋体" w:hAnsi="宋体"/>
        </w:rPr>
        <w:t>第三条</w:t>
      </w:r>
      <w:r>
        <w:rPr>
          <w:rFonts w:ascii="宋体" w:hAnsi="宋体"/>
          <w:b/>
        </w:rPr>
        <w:t xml:space="preserve">  </w:t>
      </w:r>
      <w:r>
        <w:rPr>
          <w:rFonts w:hint="eastAsia" w:ascii="宋体" w:hAnsi="宋体"/>
        </w:rPr>
        <w:t>国有企业是指企业全部资产归国家所有，并按《中华人民共和国企业法人登记管理条例》规定登记注册的非公司制的经济组织。不包括有限责任公司中的国有独资公司。</w:t>
      </w:r>
    </w:p>
    <w:p>
      <w:pPr>
        <w:spacing w:line="400" w:lineRule="exact"/>
        <w:ind w:firstLine="420" w:firstLineChars="200"/>
        <w:jc w:val="left"/>
        <w:rPr>
          <w:rFonts w:ascii="宋体" w:hAnsi="宋体"/>
          <w:b/>
          <w:szCs w:val="20"/>
        </w:rPr>
      </w:pPr>
      <w:r>
        <w:rPr>
          <w:rFonts w:hint="eastAsia" w:ascii="宋体" w:hAnsi="宋体"/>
        </w:rPr>
        <w:t>第四条</w:t>
      </w:r>
      <w:r>
        <w:rPr>
          <w:rFonts w:ascii="宋体" w:hAnsi="宋体"/>
        </w:rPr>
        <w:t xml:space="preserve">  </w:t>
      </w:r>
      <w:r>
        <w:rPr>
          <w:rFonts w:hint="eastAsia" w:ascii="宋体" w:hAnsi="宋体"/>
        </w:rPr>
        <w:t>集体企业是指企业资产归集体所有，并按《中华人民共和国企业法人登记管理条例》规定登记注册的经济组织。</w:t>
      </w:r>
    </w:p>
    <w:p>
      <w:pPr>
        <w:spacing w:line="400" w:lineRule="exact"/>
        <w:ind w:firstLine="420" w:firstLineChars="200"/>
        <w:rPr>
          <w:rFonts w:ascii="宋体" w:hAnsi="宋体"/>
          <w:szCs w:val="20"/>
        </w:rPr>
      </w:pPr>
      <w:r>
        <w:rPr>
          <w:rFonts w:hint="eastAsia" w:ascii="宋体" w:hAnsi="宋体"/>
        </w:rPr>
        <w:t>第五条</w:t>
      </w:r>
      <w:r>
        <w:rPr>
          <w:rFonts w:ascii="宋体" w:hAnsi="宋体"/>
        </w:rPr>
        <w:t xml:space="preserve">  </w:t>
      </w:r>
      <w:r>
        <w:rPr>
          <w:rFonts w:hint="eastAsia" w:ascii="宋体" w:hAnsi="宋体"/>
        </w:rPr>
        <w:t>股份合作企业是指以合作制为基础，由企业职工共同出资入股，吸收一定比例的社会资产投资组建，实行自主经营，自负盈亏，共同劳动，民主管理，按劳分配与按股分红相结合的一种集体经济组织。</w:t>
      </w:r>
    </w:p>
    <w:p>
      <w:pPr>
        <w:spacing w:line="400" w:lineRule="exact"/>
        <w:ind w:firstLine="420" w:firstLineChars="200"/>
        <w:rPr>
          <w:rFonts w:ascii="宋体" w:hAnsi="宋体"/>
          <w:szCs w:val="20"/>
        </w:rPr>
      </w:pPr>
      <w:r>
        <w:rPr>
          <w:rFonts w:hint="eastAsia" w:ascii="宋体" w:hAnsi="宋体"/>
        </w:rPr>
        <w:t>第六条</w:t>
      </w:r>
      <w:r>
        <w:rPr>
          <w:rFonts w:ascii="宋体" w:hAnsi="宋体"/>
          <w:b/>
        </w:rPr>
        <w:t xml:space="preserve">  </w:t>
      </w:r>
      <w:r>
        <w:rPr>
          <w:rFonts w:hint="eastAsia" w:ascii="宋体" w:hAnsi="宋体"/>
        </w:rPr>
        <w:t>联营企业是指两个及两个以上相同或不同所有制性质的企业法人或事业单位法人，按自愿、平等、互利的原则，共同投资组成的经济组织。</w:t>
      </w:r>
      <w:r>
        <w:rPr>
          <w:rFonts w:ascii="宋体" w:hAnsi="宋体"/>
          <w:b/>
        </w:rPr>
        <w:t xml:space="preserve"> </w:t>
      </w:r>
    </w:p>
    <w:p>
      <w:pPr>
        <w:spacing w:line="400" w:lineRule="exact"/>
        <w:ind w:firstLine="420" w:firstLineChars="200"/>
        <w:rPr>
          <w:rFonts w:ascii="宋体" w:hAnsi="宋体"/>
          <w:szCs w:val="20"/>
        </w:rPr>
      </w:pPr>
      <w:r>
        <w:rPr>
          <w:rFonts w:hint="eastAsia" w:ascii="宋体" w:hAnsi="宋体"/>
        </w:rPr>
        <w:t>第七条</w:t>
      </w:r>
      <w:r>
        <w:rPr>
          <w:rFonts w:ascii="宋体" w:hAnsi="宋体"/>
        </w:rPr>
        <w:t xml:space="preserve">  </w:t>
      </w:r>
      <w:r>
        <w:rPr>
          <w:rFonts w:hint="eastAsia" w:ascii="宋体" w:hAnsi="宋体"/>
        </w:rPr>
        <w:t>有限责任公司是指根据《中华人民共和国公司登记管理条例》规定登记注册，由两个以上，五十个以下的股东共同出资，每个股东以其所认缴的出资额对公司承担有限责任，公司以其全部资产对其债务承担责任的经济组织。</w:t>
      </w:r>
    </w:p>
    <w:p>
      <w:pPr>
        <w:spacing w:line="400" w:lineRule="exact"/>
        <w:ind w:firstLine="420" w:firstLineChars="200"/>
        <w:rPr>
          <w:rFonts w:ascii="宋体" w:hAnsi="宋体"/>
          <w:szCs w:val="20"/>
        </w:rPr>
      </w:pPr>
      <w:r>
        <w:rPr>
          <w:rFonts w:hint="eastAsia" w:ascii="宋体" w:hAnsi="宋体"/>
        </w:rPr>
        <w:t>有限责任公司包括国有独资公司以及其他有限责任公司。</w:t>
      </w:r>
    </w:p>
    <w:p>
      <w:pPr>
        <w:spacing w:line="400" w:lineRule="exact"/>
        <w:ind w:firstLine="420" w:firstLineChars="200"/>
        <w:rPr>
          <w:rFonts w:ascii="宋体" w:hAnsi="宋体"/>
          <w:szCs w:val="20"/>
        </w:rPr>
      </w:pPr>
      <w:r>
        <w:rPr>
          <w:rFonts w:hint="eastAsia" w:ascii="宋体" w:hAnsi="宋体"/>
        </w:rPr>
        <w:t>国有独资公司是指国家授权的投资机构或者国家授权的部门单独投资设立的有限责任公司。其他有限责任公司是指国有独资公司以外的其他有限责任公司。</w:t>
      </w:r>
    </w:p>
    <w:p>
      <w:pPr>
        <w:spacing w:line="400" w:lineRule="exact"/>
        <w:ind w:firstLine="420" w:firstLineChars="200"/>
        <w:rPr>
          <w:rFonts w:ascii="宋体" w:hAnsi="宋体"/>
          <w:szCs w:val="20"/>
        </w:rPr>
      </w:pPr>
      <w:r>
        <w:rPr>
          <w:rFonts w:hint="eastAsia" w:ascii="宋体" w:hAnsi="宋体"/>
        </w:rPr>
        <w:t>第八条</w:t>
      </w:r>
      <w:r>
        <w:rPr>
          <w:rFonts w:ascii="宋体" w:hAnsi="宋体"/>
        </w:rPr>
        <w:t xml:space="preserve">  </w:t>
      </w:r>
      <w:r>
        <w:rPr>
          <w:rFonts w:hint="eastAsia" w:ascii="宋体" w:hAnsi="宋体"/>
        </w:rPr>
        <w:t>股份有限公司是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400" w:lineRule="exact"/>
        <w:ind w:firstLine="420" w:firstLineChars="200"/>
        <w:rPr>
          <w:rFonts w:ascii="宋体" w:hAnsi="宋体"/>
          <w:szCs w:val="20"/>
        </w:rPr>
      </w:pPr>
      <w:r>
        <w:rPr>
          <w:rFonts w:hint="eastAsia" w:ascii="宋体" w:hAnsi="宋体"/>
        </w:rPr>
        <w:t>第九条</w:t>
      </w:r>
      <w:r>
        <w:rPr>
          <w:rFonts w:ascii="宋体" w:hAnsi="宋体"/>
        </w:rPr>
        <w:t xml:space="preserve">  </w:t>
      </w:r>
      <w:r>
        <w:rPr>
          <w:rFonts w:hint="eastAsia" w:ascii="宋体" w:hAnsi="宋体"/>
        </w:rPr>
        <w:t>私营企业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00" w:lineRule="exact"/>
        <w:ind w:firstLine="420" w:firstLineChars="200"/>
        <w:rPr>
          <w:rFonts w:ascii="宋体" w:hAnsi="宋体"/>
        </w:rPr>
      </w:pPr>
      <w:r>
        <w:rPr>
          <w:rFonts w:hint="eastAsia" w:ascii="宋体" w:hAnsi="宋体"/>
        </w:rPr>
        <w:t>私营独资企业是指按《私营企业暂行条例》的规定，由一名自然人投资经营，以雇佣劳动为基础，投资者对企业债务承担无限责任的企业。</w:t>
      </w:r>
    </w:p>
    <w:p>
      <w:pPr>
        <w:spacing w:line="400" w:lineRule="exact"/>
        <w:ind w:firstLine="420" w:firstLineChars="200"/>
        <w:rPr>
          <w:rFonts w:ascii="宋体" w:hAnsi="宋体"/>
          <w:szCs w:val="20"/>
        </w:rPr>
      </w:pPr>
      <w:r>
        <w:rPr>
          <w:rFonts w:hint="eastAsia" w:ascii="宋体" w:hAnsi="宋体"/>
        </w:rPr>
        <w:t>私营合伙企业是指按《合伙企业法》或《私营企业暂行条例》的规定，由两个以上自然人按照协议共同投资、共同经营、共负盈亏，以雇佣劳动为基础，对债务承担无限责任的企业。</w:t>
      </w:r>
    </w:p>
    <w:p>
      <w:pPr>
        <w:spacing w:line="400" w:lineRule="exact"/>
        <w:ind w:firstLine="420" w:firstLineChars="200"/>
        <w:rPr>
          <w:rFonts w:ascii="宋体" w:hAnsi="宋体"/>
        </w:rPr>
      </w:pPr>
      <w:r>
        <w:rPr>
          <w:rFonts w:hint="eastAsia" w:ascii="宋体" w:hAnsi="宋体"/>
        </w:rPr>
        <w:t>私营有限责任公司是指按《公司法》、《私营企业暂行条例》的规定，由两个以上自然人投资或由单个自然人控股的有限责任公司。</w:t>
      </w:r>
    </w:p>
    <w:p>
      <w:pPr>
        <w:spacing w:line="400" w:lineRule="exact"/>
        <w:ind w:firstLine="420" w:firstLineChars="200"/>
        <w:rPr>
          <w:rFonts w:ascii="宋体" w:hAnsi="宋体"/>
          <w:szCs w:val="20"/>
        </w:rPr>
      </w:pPr>
      <w:r>
        <w:rPr>
          <w:rFonts w:hint="eastAsia" w:ascii="宋体" w:hAnsi="宋体"/>
        </w:rPr>
        <w:t>私营股份有限公司是指按《公司法》的规定，由五个以上自然人投资，或由单个自然人控股的股份有限公司。</w:t>
      </w:r>
    </w:p>
    <w:p>
      <w:pPr>
        <w:spacing w:line="400" w:lineRule="exact"/>
        <w:ind w:firstLine="420" w:firstLineChars="200"/>
        <w:rPr>
          <w:rFonts w:ascii="宋体" w:hAnsi="宋体"/>
          <w:szCs w:val="20"/>
        </w:rPr>
      </w:pPr>
      <w:r>
        <w:rPr>
          <w:rFonts w:hint="eastAsia" w:ascii="宋体" w:hAnsi="宋体"/>
        </w:rPr>
        <w:t>第十条</w:t>
      </w:r>
      <w:r>
        <w:rPr>
          <w:rFonts w:ascii="宋体" w:hAnsi="宋体"/>
        </w:rPr>
        <w:t xml:space="preserve">  </w:t>
      </w:r>
      <w:r>
        <w:rPr>
          <w:rFonts w:hint="eastAsia" w:ascii="宋体" w:hAnsi="宋体"/>
        </w:rPr>
        <w:t>其他企业是指上述第三条至第九条之外的其他内资经济组织。</w:t>
      </w:r>
    </w:p>
    <w:p>
      <w:pPr>
        <w:spacing w:line="400" w:lineRule="exact"/>
        <w:ind w:firstLine="420" w:firstLineChars="200"/>
        <w:rPr>
          <w:rFonts w:ascii="宋体" w:hAnsi="宋体"/>
          <w:szCs w:val="20"/>
        </w:rPr>
      </w:pPr>
      <w:r>
        <w:rPr>
          <w:rFonts w:hint="eastAsia" w:ascii="宋体" w:hAnsi="宋体"/>
        </w:rPr>
        <w:t>第十一条</w:t>
      </w:r>
      <w:r>
        <w:rPr>
          <w:rFonts w:ascii="宋体" w:hAnsi="宋体"/>
        </w:rPr>
        <w:t xml:space="preserve">  </w:t>
      </w:r>
      <w:r>
        <w:rPr>
          <w:rFonts w:hint="eastAsia" w:ascii="宋体" w:hAnsi="宋体"/>
        </w:rPr>
        <w:t>合资经营企业(港或澳、台资)是指港澳台地区投资者与内地企业依照《中华人民共和国中外合资经营企业法》及有关法律的规定，按合同规定的比例投资设立、分享利润和分担风险的企业。</w:t>
      </w:r>
    </w:p>
    <w:p>
      <w:pPr>
        <w:spacing w:line="400" w:lineRule="exact"/>
        <w:ind w:firstLine="420" w:firstLineChars="200"/>
        <w:rPr>
          <w:rFonts w:ascii="宋体" w:hAnsi="宋体"/>
          <w:szCs w:val="20"/>
        </w:rPr>
      </w:pPr>
      <w:r>
        <w:rPr>
          <w:rFonts w:hint="eastAsia" w:ascii="宋体" w:hAnsi="宋体"/>
        </w:rPr>
        <w:t>第十二条</w:t>
      </w:r>
      <w:r>
        <w:rPr>
          <w:rFonts w:ascii="宋体" w:hAnsi="宋体"/>
        </w:rPr>
        <w:t xml:space="preserve">  </w:t>
      </w:r>
      <w:r>
        <w:rPr>
          <w:rFonts w:hint="eastAsia" w:ascii="宋体" w:hAnsi="宋体"/>
        </w:rPr>
        <w:t>合作经营企业(港或澳、台资)是指港澳台地区投资者与内地企业依照《中华人民共和国中外合作经营企业法》及有关法律的规定，依照合作合同的约定进行投资或提供条件设立、分配利润和分担风险的企业。</w:t>
      </w:r>
    </w:p>
    <w:p>
      <w:pPr>
        <w:spacing w:line="400" w:lineRule="exact"/>
        <w:ind w:firstLine="420" w:firstLineChars="200"/>
        <w:rPr>
          <w:rFonts w:ascii="宋体" w:hAnsi="宋体"/>
          <w:szCs w:val="20"/>
        </w:rPr>
      </w:pPr>
      <w:r>
        <w:rPr>
          <w:rFonts w:hint="eastAsia" w:ascii="宋体" w:hAnsi="宋体"/>
        </w:rPr>
        <w:t>第十三条</w:t>
      </w:r>
      <w:r>
        <w:rPr>
          <w:rFonts w:ascii="宋体" w:hAnsi="宋体"/>
        </w:rPr>
        <w:t xml:space="preserve">  </w:t>
      </w:r>
      <w:r>
        <w:rPr>
          <w:rFonts w:hint="eastAsia" w:ascii="宋体" w:hAnsi="宋体"/>
        </w:rPr>
        <w:t>港、澳、台商独资经营企业是指依照《中华人民共和国外资企业法》及有关法律的规定，在内地由港澳台地区投资者全额投资设立的企业。</w:t>
      </w:r>
    </w:p>
    <w:p>
      <w:pPr>
        <w:spacing w:line="400" w:lineRule="exact"/>
        <w:ind w:firstLine="420" w:firstLineChars="200"/>
        <w:rPr>
          <w:rFonts w:ascii="宋体" w:hAnsi="宋体"/>
          <w:szCs w:val="20"/>
        </w:rPr>
      </w:pPr>
      <w:r>
        <w:rPr>
          <w:rFonts w:hint="eastAsia" w:ascii="宋体" w:hAnsi="宋体"/>
        </w:rPr>
        <w:t>第十四条</w:t>
      </w:r>
      <w:r>
        <w:rPr>
          <w:rFonts w:ascii="宋体" w:hAnsi="宋体"/>
        </w:rPr>
        <w:t xml:space="preserve">  </w:t>
      </w:r>
      <w:r>
        <w:rPr>
          <w:rFonts w:hint="eastAsia" w:ascii="宋体" w:hAnsi="宋体"/>
        </w:rPr>
        <w:t>港、澳、台商投资股份有限公司是指根据国家有关规定，经外经贸部依法批准设立，其中港、澳、台商的股本占公司注册资本的比例达25%以上的股份有限公司。凡其中港、澳、台商的股本占公司注册资本的比例小于25%的，属于内资企业中的股份有限公司。</w:t>
      </w:r>
    </w:p>
    <w:p>
      <w:pPr>
        <w:spacing w:line="400" w:lineRule="exact"/>
        <w:ind w:firstLine="420" w:firstLineChars="200"/>
        <w:rPr>
          <w:rFonts w:ascii="宋体" w:hAnsi="宋体"/>
          <w:szCs w:val="20"/>
        </w:rPr>
      </w:pPr>
      <w:r>
        <w:rPr>
          <w:rFonts w:hint="eastAsia" w:ascii="宋体" w:hAnsi="宋体"/>
        </w:rPr>
        <w:t>第十五条</w:t>
      </w:r>
      <w:r>
        <w:rPr>
          <w:rFonts w:ascii="宋体" w:hAnsi="宋体"/>
        </w:rPr>
        <w:t xml:space="preserve">  </w:t>
      </w:r>
      <w:r>
        <w:rPr>
          <w:rFonts w:hint="eastAsia" w:ascii="宋体" w:hAnsi="宋体"/>
        </w:rPr>
        <w:t>中外合资经营企业是指外国企业或外国人与中国内地企业依照《中华人民共和国中外合资经营企业法》及有关法律的规定，按合同规定的比例投资设立、分享利润和分担风险的企业。</w:t>
      </w:r>
    </w:p>
    <w:p>
      <w:pPr>
        <w:spacing w:line="400" w:lineRule="exact"/>
        <w:ind w:firstLine="420" w:firstLineChars="200"/>
        <w:rPr>
          <w:rFonts w:ascii="宋体" w:hAnsi="宋体"/>
          <w:szCs w:val="20"/>
        </w:rPr>
      </w:pPr>
      <w:r>
        <w:rPr>
          <w:rFonts w:hint="eastAsia" w:ascii="宋体" w:hAnsi="宋体"/>
        </w:rPr>
        <w:t>第十六条</w:t>
      </w:r>
      <w:r>
        <w:rPr>
          <w:rFonts w:ascii="宋体" w:hAnsi="宋体"/>
        </w:rPr>
        <w:t xml:space="preserve">  </w:t>
      </w:r>
      <w:r>
        <w:rPr>
          <w:rFonts w:hint="eastAsia" w:ascii="宋体" w:hAnsi="宋体"/>
        </w:rPr>
        <w:t>中外合作经营企业是指外国企业或外国人与中国内地企业依照《中华人民共和国中外合作经营企业法》及有关法律的规定，依照合作合同的约定进行投资或提供条件设立、分配利润和分担风险的企业。</w:t>
      </w:r>
    </w:p>
    <w:p>
      <w:pPr>
        <w:spacing w:line="400" w:lineRule="exact"/>
        <w:ind w:firstLine="420" w:firstLineChars="200"/>
        <w:rPr>
          <w:rFonts w:ascii="宋体" w:hAnsi="宋体"/>
          <w:szCs w:val="20"/>
        </w:rPr>
      </w:pPr>
      <w:r>
        <w:rPr>
          <w:rFonts w:hint="eastAsia" w:ascii="宋体" w:hAnsi="宋体"/>
        </w:rPr>
        <w:t>第十七条</w:t>
      </w:r>
      <w:r>
        <w:rPr>
          <w:rFonts w:ascii="宋体" w:hAnsi="宋体"/>
        </w:rPr>
        <w:t xml:space="preserve">  </w:t>
      </w:r>
      <w:r>
        <w:rPr>
          <w:rFonts w:hint="eastAsia" w:ascii="宋体" w:hAnsi="宋体"/>
        </w:rPr>
        <w:t>外资企业是指依照《中华人民共和国外资企业法》及有关法律的规定，在中国内地由外国投资者全额投资设立的企业。</w:t>
      </w:r>
    </w:p>
    <w:p>
      <w:pPr>
        <w:spacing w:line="400" w:lineRule="exact"/>
        <w:ind w:firstLine="420" w:firstLineChars="200"/>
        <w:rPr>
          <w:rFonts w:ascii="宋体" w:hAnsi="宋体"/>
          <w:szCs w:val="20"/>
        </w:rPr>
      </w:pPr>
      <w:r>
        <w:rPr>
          <w:rFonts w:hint="eastAsia" w:ascii="宋体" w:hAnsi="宋体"/>
        </w:rPr>
        <w:t>第十八条</w:t>
      </w:r>
      <w:r>
        <w:rPr>
          <w:rFonts w:ascii="宋体" w:hAnsi="宋体"/>
        </w:rPr>
        <w:t xml:space="preserve">  </w:t>
      </w:r>
      <w:r>
        <w:rPr>
          <w:rFonts w:hint="eastAsia" w:ascii="宋体" w:hAnsi="宋体"/>
        </w:rPr>
        <w:t>外商投资股份有限公司是指根据国家有关规定，经外经贸部依法批准设立，其中外资的股本占公司注册资本的比例达25% 以上的股份有限公司。凡其中外资股本占公司注册资本的比例小于25%的，属于内资企业中的股份有限公司。</w:t>
      </w:r>
    </w:p>
    <w:p>
      <w:pPr>
        <w:spacing w:line="400" w:lineRule="exact"/>
        <w:ind w:firstLine="420" w:firstLineChars="200"/>
        <w:rPr>
          <w:rFonts w:ascii="宋体" w:hAnsi="宋体"/>
          <w:szCs w:val="20"/>
        </w:rPr>
      </w:pPr>
      <w:r>
        <w:rPr>
          <w:rFonts w:hint="eastAsia" w:ascii="宋体" w:hAnsi="宋体"/>
        </w:rPr>
        <w:t>第十九条</w:t>
      </w:r>
      <w:r>
        <w:rPr>
          <w:rFonts w:ascii="宋体" w:hAnsi="宋体"/>
        </w:rPr>
        <w:t xml:space="preserve">  </w:t>
      </w:r>
      <w:r>
        <w:rPr>
          <w:rFonts w:hint="eastAsia" w:ascii="宋体" w:hAnsi="宋体"/>
        </w:rPr>
        <w:t>本规定由国家统计局会同国家工商行政管理局负责解释。</w:t>
      </w:r>
    </w:p>
    <w:p>
      <w:pPr>
        <w:spacing w:line="400" w:lineRule="exact"/>
        <w:ind w:firstLine="420" w:firstLineChars="200"/>
        <w:rPr>
          <w:rFonts w:ascii="宋体" w:hAnsi="宋体"/>
        </w:rPr>
      </w:pPr>
      <w:r>
        <w:rPr>
          <w:rFonts w:hint="eastAsia" w:ascii="宋体" w:hAnsi="宋体"/>
        </w:rPr>
        <w:t>第二十条</w:t>
      </w:r>
      <w:r>
        <w:rPr>
          <w:rFonts w:ascii="宋体" w:hAnsi="宋体"/>
          <w:b/>
        </w:rPr>
        <w:t xml:space="preserve">  </w:t>
      </w:r>
      <w:r>
        <w:rPr>
          <w:rFonts w:hint="eastAsia" w:ascii="宋体" w:hAnsi="宋体"/>
        </w:rPr>
        <w:t>本规定自颁布之日起施行，国家统计局和国家工商行政管理局一九九二年制定的《关于经济类型划分的暂行规定》同时废止。</w:t>
      </w:r>
    </w:p>
    <w:p>
      <w:pPr>
        <w:widowControl/>
        <w:spacing w:after="240"/>
        <w:jc w:val="center"/>
        <w:rPr>
          <w:rFonts w:cs="宋体"/>
          <w:b/>
          <w:kern w:val="0"/>
          <w:sz w:val="32"/>
          <w:szCs w:val="32"/>
        </w:rPr>
      </w:pPr>
      <w:r>
        <w:rPr>
          <w:rFonts w:hint="eastAsia" w:cs="宋体"/>
          <w:b/>
          <w:kern w:val="0"/>
          <w:sz w:val="32"/>
          <w:szCs w:val="32"/>
        </w:rPr>
        <w:br w:type="page"/>
      </w:r>
    </w:p>
    <w:p>
      <w:pPr>
        <w:widowControl/>
        <w:spacing w:after="240"/>
        <w:jc w:val="center"/>
        <w:rPr>
          <w:rFonts w:ascii="宋体" w:hAnsi="宋体"/>
        </w:rPr>
      </w:pPr>
      <w:r>
        <w:rPr>
          <w:rFonts w:hint="eastAsia" w:cs="宋体"/>
          <w:b/>
          <w:kern w:val="0"/>
          <w:sz w:val="32"/>
          <w:szCs w:val="32"/>
        </w:rPr>
        <w:t>企业登记注册类型与代码</w:t>
      </w:r>
    </w:p>
    <w:tbl>
      <w:tblPr>
        <w:tblStyle w:val="11"/>
        <w:tblW w:w="6680" w:type="dxa"/>
        <w:jc w:val="center"/>
        <w:tblInd w:w="93" w:type="dxa"/>
        <w:tblLayout w:type="fixed"/>
        <w:tblCellMar>
          <w:top w:w="0" w:type="dxa"/>
          <w:left w:w="108" w:type="dxa"/>
          <w:bottom w:w="0" w:type="dxa"/>
          <w:right w:w="108" w:type="dxa"/>
        </w:tblCellMar>
      </w:tblPr>
      <w:tblGrid>
        <w:gridCol w:w="1360"/>
        <w:gridCol w:w="5320"/>
      </w:tblGrid>
      <w:tr>
        <w:tblPrEx>
          <w:tblLayout w:type="fixed"/>
          <w:tblCellMar>
            <w:top w:w="0" w:type="dxa"/>
            <w:left w:w="108" w:type="dxa"/>
            <w:bottom w:w="0" w:type="dxa"/>
            <w:right w:w="108" w:type="dxa"/>
          </w:tblCellMar>
        </w:tblPrEx>
        <w:trPr>
          <w:trHeight w:val="585" w:hRule="atLeast"/>
          <w:jc w:val="center"/>
        </w:trPr>
        <w:tc>
          <w:tcPr>
            <w:tcW w:w="1360" w:type="dxa"/>
            <w:tcBorders>
              <w:top w:val="single" w:color="auto" w:sz="8" w:space="0"/>
              <w:left w:val="single" w:color="FFFFCC"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代 码</w:t>
            </w:r>
          </w:p>
        </w:tc>
        <w:tc>
          <w:tcPr>
            <w:tcW w:w="5320" w:type="dxa"/>
            <w:tcBorders>
              <w:top w:val="single" w:color="auto" w:sz="8" w:space="0"/>
              <w:left w:val="nil"/>
              <w:bottom w:val="single" w:color="auto" w:sz="8" w:space="0"/>
              <w:right w:val="single" w:color="FFFFCC"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企 业 登 记 注 册 类 型</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100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内资企业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110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国有企业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120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集体企业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130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股份合作企业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140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联营企业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141</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国有联营企业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142</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集体联营企业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143</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国有与集体联营企业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149</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其他联营企业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150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有限责任公司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151</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国有独资公司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159</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其他有限责任公司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160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股份有限公司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170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私营企业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171</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私营独资企业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172</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私营合伙企业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173</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私营有限责任公司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174</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私营股份有限公司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190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其他企业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200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港、澳、台商投资企业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210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合资经营企业（港或澳、台资）</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220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合作经营企业（港或澳、台资）</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230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港、澳、台商独资经营企业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240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港、澳、台商投资股份有限公司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290</w:t>
            </w:r>
          </w:p>
        </w:tc>
        <w:tc>
          <w:tcPr>
            <w:tcW w:w="5320" w:type="dxa"/>
            <w:tcBorders>
              <w:top w:val="nil"/>
              <w:left w:val="nil"/>
              <w:bottom w:val="nil"/>
              <w:right w:val="single" w:color="FFFFCC" w:sz="8" w:space="0"/>
            </w:tcBorders>
            <w:shd w:val="clear" w:color="auto" w:fill="auto"/>
          </w:tcPr>
          <w:p>
            <w:pPr>
              <w:widowControl/>
              <w:ind w:firstLine="960" w:firstLineChars="400"/>
              <w:jc w:val="left"/>
              <w:rPr>
                <w:rFonts w:ascii="宋体" w:hAnsi="宋体" w:cs="宋体"/>
                <w:kern w:val="0"/>
                <w:sz w:val="24"/>
              </w:rPr>
            </w:pPr>
            <w:r>
              <w:rPr>
                <w:rFonts w:hint="eastAsia" w:ascii="宋体" w:hAnsi="宋体" w:cs="宋体"/>
                <w:kern w:val="0"/>
                <w:sz w:val="24"/>
              </w:rPr>
              <w:t>其他港、澳、台商投资商投资企业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300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外商投资企业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310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中外合资经营企业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320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中外合作经营企业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330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外资企业</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340</w:t>
            </w:r>
          </w:p>
        </w:tc>
        <w:tc>
          <w:tcPr>
            <w:tcW w:w="5320" w:type="dxa"/>
            <w:tcBorders>
              <w:top w:val="nil"/>
              <w:left w:val="nil"/>
              <w:bottom w:val="nil"/>
              <w:right w:val="single" w:color="FFFFCC" w:sz="8" w:space="0"/>
            </w:tcBorders>
            <w:shd w:val="clear" w:color="auto" w:fill="auto"/>
          </w:tcPr>
          <w:p>
            <w:pPr>
              <w:widowControl/>
              <w:ind w:firstLine="960" w:firstLineChars="400"/>
              <w:jc w:val="left"/>
              <w:rPr>
                <w:rFonts w:ascii="宋体" w:hAnsi="宋体" w:cs="宋体"/>
                <w:kern w:val="0"/>
                <w:sz w:val="24"/>
              </w:rPr>
            </w:pPr>
            <w:r>
              <w:rPr>
                <w:rFonts w:hint="eastAsia" w:ascii="宋体" w:hAnsi="宋体" w:cs="宋体"/>
                <w:kern w:val="0"/>
                <w:sz w:val="24"/>
              </w:rPr>
              <w:t>外商投资股份有限公司</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390</w:t>
            </w:r>
          </w:p>
        </w:tc>
        <w:tc>
          <w:tcPr>
            <w:tcW w:w="5320" w:type="dxa"/>
            <w:tcBorders>
              <w:top w:val="nil"/>
              <w:left w:val="nil"/>
              <w:bottom w:val="nil"/>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其他外商投资企业</w:t>
            </w:r>
          </w:p>
        </w:tc>
      </w:tr>
      <w:tr>
        <w:tblPrEx>
          <w:tblLayout w:type="fixed"/>
          <w:tblCellMar>
            <w:top w:w="0" w:type="dxa"/>
            <w:left w:w="108" w:type="dxa"/>
            <w:bottom w:w="0" w:type="dxa"/>
            <w:right w:w="108" w:type="dxa"/>
          </w:tblCellMar>
        </w:tblPrEx>
        <w:trPr>
          <w:trHeight w:val="945" w:hRule="atLeast"/>
          <w:jc w:val="center"/>
        </w:trPr>
        <w:tc>
          <w:tcPr>
            <w:tcW w:w="1360" w:type="dxa"/>
            <w:tcBorders>
              <w:top w:val="nil"/>
              <w:left w:val="single" w:color="FFFFCC" w:sz="8" w:space="0"/>
              <w:bottom w:val="single" w:color="auto" w:sz="4" w:space="0"/>
              <w:right w:val="single" w:color="auto"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400</w:t>
            </w:r>
          </w:p>
          <w:p>
            <w:pPr>
              <w:jc w:val="left"/>
              <w:rPr>
                <w:rFonts w:ascii="宋体" w:hAnsi="宋体" w:cs="宋体"/>
                <w:kern w:val="0"/>
                <w:sz w:val="24"/>
              </w:rPr>
            </w:pPr>
            <w:r>
              <w:rPr>
                <w:rFonts w:hint="eastAsia" w:ascii="宋体" w:hAnsi="宋体" w:cs="宋体"/>
                <w:kern w:val="0"/>
                <w:sz w:val="24"/>
              </w:rPr>
              <w:t>410</w:t>
            </w:r>
          </w:p>
          <w:p>
            <w:pPr>
              <w:jc w:val="left"/>
              <w:rPr>
                <w:rFonts w:ascii="宋体" w:hAnsi="宋体" w:cs="宋体"/>
                <w:kern w:val="0"/>
                <w:sz w:val="24"/>
              </w:rPr>
            </w:pPr>
            <w:r>
              <w:rPr>
                <w:rFonts w:hint="eastAsia" w:ascii="宋体" w:hAnsi="宋体" w:cs="宋体"/>
                <w:kern w:val="0"/>
                <w:sz w:val="24"/>
              </w:rPr>
              <w:t>420</w:t>
            </w:r>
          </w:p>
        </w:tc>
        <w:tc>
          <w:tcPr>
            <w:tcW w:w="5320" w:type="dxa"/>
            <w:tcBorders>
              <w:top w:val="nil"/>
              <w:left w:val="nil"/>
              <w:bottom w:val="single" w:color="auto" w:sz="4" w:space="0"/>
              <w:right w:val="single" w:color="FFFFCC"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 xml:space="preserve">    个体经营</w:t>
            </w:r>
          </w:p>
          <w:p>
            <w:pPr>
              <w:jc w:val="left"/>
              <w:rPr>
                <w:rFonts w:ascii="宋体" w:hAnsi="宋体" w:cs="宋体"/>
                <w:kern w:val="0"/>
                <w:sz w:val="24"/>
              </w:rPr>
            </w:pPr>
            <w:r>
              <w:rPr>
                <w:rFonts w:hint="eastAsia" w:ascii="宋体" w:hAnsi="宋体" w:cs="宋体"/>
                <w:kern w:val="0"/>
                <w:sz w:val="24"/>
              </w:rPr>
              <w:t xml:space="preserve">        个体户</w:t>
            </w:r>
          </w:p>
          <w:p>
            <w:pPr>
              <w:jc w:val="left"/>
              <w:rPr>
                <w:rFonts w:ascii="宋体" w:hAnsi="宋体" w:cs="宋体"/>
                <w:kern w:val="0"/>
                <w:sz w:val="24"/>
              </w:rPr>
            </w:pPr>
            <w:r>
              <w:rPr>
                <w:rFonts w:hint="eastAsia" w:ascii="宋体" w:hAnsi="宋体" w:cs="宋体"/>
                <w:kern w:val="0"/>
                <w:sz w:val="24"/>
              </w:rPr>
              <w:t>　      个人合伙</w:t>
            </w:r>
          </w:p>
        </w:tc>
      </w:tr>
    </w:tbl>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cs="宋体"/>
          <w:b/>
          <w:color w:val="000000"/>
          <w:kern w:val="0"/>
          <w:sz w:val="32"/>
          <w:szCs w:val="32"/>
        </w:rPr>
      </w:pPr>
      <w:r>
        <w:rPr>
          <w:rFonts w:hint="eastAsia" w:ascii="宋体" w:hAnsi="宋体" w:cs="宋体"/>
          <w:b/>
          <w:color w:val="000000"/>
          <w:kern w:val="0"/>
          <w:sz w:val="32"/>
          <w:szCs w:val="32"/>
        </w:rPr>
        <w:br w:type="page"/>
      </w:r>
    </w:p>
    <w:p>
      <w:pPr>
        <w:jc w:val="center"/>
        <w:rPr>
          <w:rFonts w:ascii="宋体" w:hAnsi="宋体" w:cs="宋体"/>
          <w:b/>
          <w:color w:val="000000"/>
          <w:kern w:val="0"/>
          <w:sz w:val="32"/>
          <w:szCs w:val="32"/>
        </w:rPr>
      </w:pPr>
      <w:r>
        <w:rPr>
          <w:rFonts w:hint="eastAsia" w:ascii="宋体" w:hAnsi="宋体" w:cs="宋体"/>
          <w:b/>
          <w:color w:val="000000"/>
          <w:kern w:val="0"/>
          <w:sz w:val="32"/>
          <w:szCs w:val="32"/>
        </w:rPr>
        <w:t>（三）关于统计上对公有和非公有控股经济的分类办法</w:t>
      </w:r>
    </w:p>
    <w:p>
      <w:pPr>
        <w:jc w:val="right"/>
        <w:rPr>
          <w:rFonts w:ascii="宋体" w:hAnsi="宋体"/>
          <w:sz w:val="32"/>
          <w:szCs w:val="32"/>
        </w:rPr>
      </w:pPr>
      <w:r>
        <w:rPr>
          <w:rFonts w:hint="eastAsia" w:ascii="宋体" w:hAnsi="宋体"/>
          <w:bCs/>
          <w:sz w:val="24"/>
        </w:rPr>
        <w:t>（2005年8月18日国家统计局发布）</w:t>
      </w:r>
    </w:p>
    <w:p>
      <w:pPr>
        <w:spacing w:line="400" w:lineRule="exact"/>
        <w:ind w:firstLine="420" w:firstLineChars="200"/>
        <w:rPr>
          <w:rFonts w:ascii="宋体" w:hAnsi="宋体"/>
        </w:rPr>
      </w:pPr>
      <w:r>
        <w:rPr>
          <w:rFonts w:hint="eastAsia" w:ascii="宋体" w:hAnsi="宋体"/>
        </w:rPr>
        <w:t>为了全面反映我国公有经济和非公有经济的控股情况，完善1998年国家统计局关于控股情况的有关规定，制定本办法。</w:t>
      </w:r>
    </w:p>
    <w:p>
      <w:pPr>
        <w:spacing w:line="400" w:lineRule="exact"/>
        <w:ind w:firstLine="420" w:firstLineChars="200"/>
        <w:rPr>
          <w:rFonts w:ascii="宋体" w:hAnsi="宋体"/>
        </w:rPr>
      </w:pPr>
      <w:r>
        <w:rPr>
          <w:rFonts w:hint="eastAsia" w:ascii="宋体" w:hAnsi="宋体"/>
        </w:rPr>
        <w:t>第二条　本办法以法人企业作为分类对象，根据企业实收资本中某种经济成分的出资人实际出资情况进行分类,并按出资人对企业的控股程度，分为绝对控股和相对控股。</w:t>
      </w:r>
    </w:p>
    <w:p>
      <w:pPr>
        <w:spacing w:line="400" w:lineRule="exact"/>
        <w:ind w:firstLine="420" w:firstLineChars="200"/>
        <w:rPr>
          <w:rFonts w:ascii="宋体" w:hAnsi="宋体"/>
        </w:rPr>
      </w:pPr>
      <w:r>
        <w:rPr>
          <w:rFonts w:hint="eastAsia" w:ascii="宋体" w:hAnsi="宋体"/>
        </w:rPr>
        <w:t>第三条　控股经济分类与代码</w:t>
      </w:r>
    </w:p>
    <w:tbl>
      <w:tblPr>
        <w:tblStyle w:val="11"/>
        <w:tblW w:w="6680" w:type="dxa"/>
        <w:jc w:val="center"/>
        <w:tblInd w:w="93" w:type="dxa"/>
        <w:tblLayout w:type="fixed"/>
        <w:tblCellMar>
          <w:top w:w="0" w:type="dxa"/>
          <w:left w:w="108" w:type="dxa"/>
          <w:bottom w:w="0" w:type="dxa"/>
          <w:right w:w="108" w:type="dxa"/>
        </w:tblCellMar>
      </w:tblPr>
      <w:tblGrid>
        <w:gridCol w:w="1360"/>
        <w:gridCol w:w="5320"/>
      </w:tblGrid>
      <w:tr>
        <w:tblPrEx>
          <w:tblLayout w:type="fixed"/>
          <w:tblCellMar>
            <w:top w:w="0" w:type="dxa"/>
            <w:left w:w="108" w:type="dxa"/>
            <w:bottom w:w="0" w:type="dxa"/>
            <w:right w:w="108" w:type="dxa"/>
          </w:tblCellMar>
        </w:tblPrEx>
        <w:trPr>
          <w:trHeight w:val="585" w:hRule="atLeast"/>
          <w:jc w:val="center"/>
        </w:trPr>
        <w:tc>
          <w:tcPr>
            <w:tcW w:w="1360" w:type="dxa"/>
            <w:tcBorders>
              <w:top w:val="single" w:color="auto" w:sz="8" w:space="0"/>
              <w:left w:val="single" w:color="FFFFCC" w:sz="8" w:space="0"/>
              <w:bottom w:val="single" w:color="auto" w:sz="8" w:space="0"/>
              <w:right w:val="single" w:color="auto" w:sz="8"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代 码</w:t>
            </w:r>
          </w:p>
        </w:tc>
        <w:tc>
          <w:tcPr>
            <w:tcW w:w="5320" w:type="dxa"/>
            <w:tcBorders>
              <w:top w:val="single" w:color="auto" w:sz="8" w:space="0"/>
              <w:left w:val="nil"/>
              <w:bottom w:val="single" w:color="auto" w:sz="8" w:space="0"/>
              <w:right w:val="single" w:color="FFFFCC" w:sz="8"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控股经济分类</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100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公有控股经济</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国有绝对控股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国有相对控股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集体绝对控股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集体相对控股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200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非公有控股经济</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私人绝对控股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私人相对控股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港澳台商绝对控股</w:t>
            </w:r>
          </w:p>
        </w:tc>
      </w:tr>
      <w:tr>
        <w:tblPrEx>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港澳台商相对控股</w:t>
            </w:r>
          </w:p>
        </w:tc>
      </w:tr>
      <w:tr>
        <w:tblPrEx>
          <w:tblLayout w:type="fixed"/>
          <w:tblCellMar>
            <w:top w:w="0" w:type="dxa"/>
            <w:left w:w="108" w:type="dxa"/>
            <w:bottom w:w="0" w:type="dxa"/>
            <w:right w:w="108" w:type="dxa"/>
          </w:tblCellMar>
        </w:tblPrEx>
        <w:trPr>
          <w:trHeight w:val="945" w:hRule="atLeast"/>
          <w:jc w:val="center"/>
        </w:trPr>
        <w:tc>
          <w:tcPr>
            <w:tcW w:w="1360" w:type="dxa"/>
            <w:tcBorders>
              <w:top w:val="nil"/>
              <w:left w:val="single" w:color="FFFFCC" w:sz="8" w:space="0"/>
              <w:bottom w:val="single" w:color="auto" w:sz="4" w:space="0"/>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230</w:t>
            </w:r>
          </w:p>
          <w:p>
            <w:pPr>
              <w:jc w:val="left"/>
              <w:rPr>
                <w:rFonts w:ascii="楷体_GB2312" w:hAnsi="宋体" w:eastAsia="楷体_GB2312" w:cs="宋体"/>
                <w:kern w:val="0"/>
                <w:sz w:val="24"/>
              </w:rPr>
            </w:pPr>
            <w:r>
              <w:rPr>
                <w:rFonts w:hint="eastAsia" w:ascii="楷体_GB2312" w:hAnsi="宋体" w:eastAsia="楷体_GB2312" w:cs="宋体"/>
                <w:kern w:val="0"/>
                <w:sz w:val="24"/>
              </w:rPr>
              <w:t>231</w:t>
            </w:r>
          </w:p>
          <w:p>
            <w:pPr>
              <w:jc w:val="left"/>
              <w:rPr>
                <w:rFonts w:ascii="楷体_GB2312" w:hAnsi="宋体" w:eastAsia="楷体_GB2312" w:cs="宋体"/>
                <w:kern w:val="0"/>
                <w:sz w:val="24"/>
              </w:rPr>
            </w:pPr>
            <w:r>
              <w:rPr>
                <w:rFonts w:hint="eastAsia" w:ascii="楷体_GB2312" w:hAnsi="宋体" w:eastAsia="楷体_GB2312" w:cs="宋体"/>
                <w:kern w:val="0"/>
                <w:sz w:val="24"/>
              </w:rPr>
              <w:t>232</w:t>
            </w:r>
          </w:p>
        </w:tc>
        <w:tc>
          <w:tcPr>
            <w:tcW w:w="5320" w:type="dxa"/>
            <w:tcBorders>
              <w:top w:val="nil"/>
              <w:left w:val="nil"/>
              <w:bottom w:val="single" w:color="auto" w:sz="4" w:space="0"/>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外商控股</w:t>
            </w:r>
          </w:p>
          <w:p>
            <w:pPr>
              <w:jc w:val="left"/>
              <w:rPr>
                <w:rFonts w:ascii="楷体_GB2312" w:hAnsi="宋体" w:eastAsia="楷体_GB2312" w:cs="宋体"/>
                <w:kern w:val="0"/>
                <w:sz w:val="24"/>
              </w:rPr>
            </w:pPr>
            <w:r>
              <w:rPr>
                <w:rFonts w:hint="eastAsia" w:ascii="楷体_GB2312" w:hAnsi="宋体" w:eastAsia="楷体_GB2312" w:cs="宋体"/>
                <w:kern w:val="0"/>
                <w:sz w:val="24"/>
              </w:rPr>
              <w:t xml:space="preserve">          外商绝对控股</w:t>
            </w:r>
          </w:p>
          <w:p>
            <w:pPr>
              <w:jc w:val="left"/>
              <w:rPr>
                <w:rFonts w:ascii="楷体_GB2312" w:hAnsi="宋体" w:eastAsia="楷体_GB2312" w:cs="宋体"/>
                <w:kern w:val="0"/>
                <w:sz w:val="24"/>
              </w:rPr>
            </w:pPr>
            <w:r>
              <w:rPr>
                <w:rFonts w:hint="eastAsia" w:ascii="楷体_GB2312" w:hAnsi="宋体" w:eastAsia="楷体_GB2312" w:cs="宋体"/>
                <w:kern w:val="0"/>
                <w:sz w:val="24"/>
              </w:rPr>
              <w:t>　        外商相对控股</w:t>
            </w:r>
          </w:p>
        </w:tc>
      </w:tr>
    </w:tbl>
    <w:p>
      <w:pPr>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第四条  绝对控股是指在企业的全部实收资本中，某种经济成分的出资人拥有的实收资本(股本)所占企业的全部实收资本（股本）的比例大于50%。</w:t>
      </w:r>
    </w:p>
    <w:p>
      <w:pPr>
        <w:spacing w:line="400" w:lineRule="exact"/>
        <w:ind w:firstLine="420" w:firstLineChars="200"/>
        <w:rPr>
          <w:rFonts w:ascii="宋体" w:hAnsi="宋体"/>
        </w:rPr>
      </w:pPr>
      <w:r>
        <w:rPr>
          <w:rFonts w:hint="eastAsia" w:ascii="宋体" w:hAnsi="宋体"/>
        </w:rPr>
        <w:t>投资双方各占50%，且未明确由谁绝对控股的企业，若其中一方为国有或集体的，一律按公有绝对控股经济处理;若投资双方分别为国有、集体的，则按国有绝对控股处理。</w:t>
      </w:r>
    </w:p>
    <w:p>
      <w:pPr>
        <w:spacing w:line="400" w:lineRule="exact"/>
        <w:ind w:firstLine="420" w:firstLineChars="200"/>
        <w:rPr>
          <w:rFonts w:ascii="宋体" w:hAnsi="宋体"/>
        </w:rPr>
      </w:pPr>
      <w:r>
        <w:rPr>
          <w:rFonts w:hint="eastAsia" w:ascii="宋体" w:hAnsi="宋体"/>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pPr>
        <w:spacing w:line="400" w:lineRule="exact"/>
        <w:ind w:firstLine="420" w:firstLineChars="200"/>
        <w:rPr>
          <w:rFonts w:ascii="宋体" w:hAnsi="宋体"/>
        </w:rPr>
      </w:pPr>
      <w:r>
        <w:rPr>
          <w:rFonts w:hint="eastAsia" w:ascii="宋体" w:hAnsi="宋体"/>
        </w:rPr>
        <w:t>第六条 本办法由国家统计局负责解释。</w:t>
      </w:r>
    </w:p>
    <w:p>
      <w:pPr>
        <w:spacing w:line="400" w:lineRule="exact"/>
        <w:ind w:firstLine="420" w:firstLineChars="200"/>
        <w:rPr>
          <w:rFonts w:ascii="宋体" w:hAnsi="宋体"/>
        </w:rPr>
      </w:pPr>
      <w:r>
        <w:rPr>
          <w:rFonts w:hint="eastAsia" w:ascii="宋体" w:hAnsi="宋体"/>
        </w:rPr>
        <w:t>第七条 本办法自发布之日起施行。1998年9月2日国家统计局印发的《关于统计上划分经济成分的规定》中的附件三《关于统计上国有经济控股情况的分类办法》同时废止。</w:t>
      </w:r>
    </w:p>
    <w:p>
      <w:pPr>
        <w:spacing w:line="400" w:lineRule="exact"/>
        <w:ind w:firstLine="420" w:firstLineChars="200"/>
        <w:rPr>
          <w:rFonts w:ascii="宋体" w:hAnsi="宋体"/>
        </w:rPr>
      </w:pPr>
    </w:p>
    <w:tbl>
      <w:tblPr>
        <w:tblStyle w:val="11"/>
        <w:tblpPr w:leftFromText="181" w:rightFromText="181" w:horzAnchor="page" w:tblpXSpec="center" w:tblpYSpec="top"/>
        <w:tblOverlap w:val="never"/>
        <w:tblW w:w="8602" w:type="dxa"/>
        <w:jc w:val="center"/>
        <w:tblCellSpacing w:w="15" w:type="dxa"/>
        <w:tblInd w:w="0" w:type="dxa"/>
        <w:tblLayout w:type="fixed"/>
        <w:tblCellMar>
          <w:top w:w="15" w:type="dxa"/>
          <w:left w:w="15" w:type="dxa"/>
          <w:bottom w:w="15" w:type="dxa"/>
          <w:right w:w="15" w:type="dxa"/>
        </w:tblCellMar>
      </w:tblPr>
      <w:tblGrid>
        <w:gridCol w:w="8602"/>
      </w:tblGrid>
      <w:tr>
        <w:tblPrEx>
          <w:tblLayout w:type="fixed"/>
          <w:tblCellMar>
            <w:top w:w="15" w:type="dxa"/>
            <w:left w:w="15" w:type="dxa"/>
            <w:bottom w:w="15" w:type="dxa"/>
            <w:right w:w="15" w:type="dxa"/>
          </w:tblCellMar>
        </w:tblPrEx>
        <w:trPr>
          <w:trHeight w:val="4501" w:hRule="atLeast"/>
          <w:tblCellSpacing w:w="15" w:type="dxa"/>
          <w:jc w:val="center"/>
        </w:trPr>
        <w:tc>
          <w:tcPr>
            <w:tcW w:w="8542" w:type="dxa"/>
          </w:tcPr>
          <w:p>
            <w:pPr>
              <w:widowControl/>
              <w:spacing w:line="375" w:lineRule="atLeast"/>
              <w:jc w:val="center"/>
              <w:rPr>
                <w:rFonts w:ascii="宋体" w:hAnsi="宋体" w:cs="宋体"/>
                <w:b/>
                <w:color w:val="000000"/>
                <w:kern w:val="0"/>
                <w:sz w:val="32"/>
                <w:szCs w:val="32"/>
              </w:rPr>
            </w:pPr>
            <w:r>
              <w:rPr>
                <w:rFonts w:hint="eastAsia" w:ascii="宋体" w:hAnsi="宋体" w:cs="宋体"/>
                <w:b/>
                <w:color w:val="000000"/>
                <w:kern w:val="0"/>
                <w:sz w:val="32"/>
                <w:szCs w:val="32"/>
              </w:rPr>
              <w:t>（四）国别（地区）统计代码表</w:t>
            </w:r>
          </w:p>
          <w:p>
            <w:pPr>
              <w:widowControl/>
              <w:spacing w:line="375" w:lineRule="atLeast"/>
              <w:jc w:val="center"/>
              <w:rPr>
                <w:rFonts w:ascii="宋体" w:hAnsi="宋体" w:cs="宋体"/>
                <w:b/>
                <w:color w:val="000000"/>
                <w:kern w:val="0"/>
                <w:szCs w:val="21"/>
              </w:rPr>
            </w:pPr>
            <w:r>
              <w:rPr>
                <w:rFonts w:hint="eastAsia" w:ascii="宋体" w:hAnsi="宋体" w:cs="宋体"/>
                <w:b/>
                <w:color w:val="000000"/>
                <w:kern w:val="0"/>
                <w:szCs w:val="21"/>
              </w:rPr>
              <w:t>COUNTRY (REGION) CODE</w:t>
            </w:r>
          </w:p>
          <w:tbl>
            <w:tblPr>
              <w:tblStyle w:val="11"/>
              <w:tblW w:w="8042" w:type="dxa"/>
              <w:tblInd w:w="0" w:type="dxa"/>
              <w:tblLayout w:type="fixed"/>
              <w:tblCellMar>
                <w:top w:w="0" w:type="dxa"/>
                <w:left w:w="108" w:type="dxa"/>
                <w:bottom w:w="0" w:type="dxa"/>
                <w:right w:w="108" w:type="dxa"/>
              </w:tblCellMar>
            </w:tblPr>
            <w:tblGrid>
              <w:gridCol w:w="1780"/>
              <w:gridCol w:w="2860"/>
              <w:gridCol w:w="3402"/>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国别地区代码</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中文名(简称)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英文名(简称)</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 xml:space="preserve">100                                 </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亚  洲：</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Asia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阿富汗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Afghanistan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Bahrian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孟加拉国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Bangladesh</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不丹</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Bhutan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文莱</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Brunei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缅甸</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Myanmar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柬埔寨</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Cambodia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塞浦路斯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Cyprus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朝鲜</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Korea,DPR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香港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Hong Kong</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印度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India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印度尼西亚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Indonesia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伊朗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伊拉克</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Iraq</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以色列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Israel</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日本</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Japan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约旦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Jordan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科威特</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Kuwait</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老挝</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Lao PDR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黎巴嫩</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Lebanon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澳门</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Macau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马来西亚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Malaysia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马尔代夫</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Maldives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蒙古</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Mongolia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尼泊尔联邦民主共和国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Nepal, FDR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阿曼</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Oman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巴基斯坦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Pakistan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巴勒斯坦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Palestine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菲律宾</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Philippines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卡塔尔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Qatar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沙特阿拉伯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Saudi Arabia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新加坡</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Singapore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韩国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Korea, Rep.</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斯里兰卡</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Sri Lanka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叙利亚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Syrian Arab Republic</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泰国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Thailand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土耳其</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Turkey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阿联酋</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Arab Emirates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也门</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Yemen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越南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Viet Nam</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China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中国台湾省</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Taiwan, Prov.of China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东帝汶</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Timor-Leste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哈萨克斯坦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Kazakhstan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吉尔吉斯斯坦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Kyrgyzstan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塔吉克斯坦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Tajikistan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土库曼斯坦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Turkmenistan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乌兹别克斯坦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Uzbekistan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199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亚洲其他国家(地区)</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Asia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200 非  洲                                   Africa</w:t>
            </w:r>
          </w:p>
          <w:tbl>
            <w:tblPr>
              <w:tblStyle w:val="11"/>
              <w:tblW w:w="8042" w:type="dxa"/>
              <w:tblInd w:w="0" w:type="dxa"/>
              <w:tblLayout w:type="fixed"/>
              <w:tblCellMar>
                <w:top w:w="0" w:type="dxa"/>
                <w:left w:w="108" w:type="dxa"/>
                <w:bottom w:w="0" w:type="dxa"/>
                <w:right w:w="108" w:type="dxa"/>
              </w:tblCellMar>
            </w:tblPr>
            <w:tblGrid>
              <w:gridCol w:w="1780"/>
              <w:gridCol w:w="2860"/>
              <w:gridCol w:w="3402"/>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阿尔及利亚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Algeria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安哥拉</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Angola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贝宁</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Benin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博茨瓦那</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Botswana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布隆迪</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Burundi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喀麦隆</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Cameroon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加那利群岛</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Canary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佛得角</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Cape Verde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中非</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Central African Republic.</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塞卜泰(休达)</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Ceuta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乍得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Chad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科摩罗</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Comoros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刚果(布)</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Congo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吉布提</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Djibouti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埃及</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Egypt</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赤道几内亚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Equatorial Guinea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埃塞俄比亚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Ethiopia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加蓬</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Gabon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冈比亚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Gambia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加纳</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Ghana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几内亚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Guinea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几内亚比绍</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Guinea-Bissau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科特迪瓦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Cote d'lvoire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肯尼亚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Kenya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利比里亚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Liberia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利比亚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Libyan Arab Jamahiriya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马达加斯加</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Madagascar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马拉维</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Malawi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马里</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毛里塔尼亚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Mauritania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毛里求斯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Mauritius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摩洛哥</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Morocco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莫桑比克</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Mozambique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纳米比亚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Namibia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尼日尔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Niger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尼日利亚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Nigeria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留尼汪</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Reunion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卢旺达</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Rwanda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圣多美和普林西比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Sao Tome and Principe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塞内加尔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Senegal</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塞舌尔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Seychelles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塞拉利昂</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Sierra Leone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索马里</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Somalia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南非</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South Africa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西撒哈拉</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Western Sahara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苏丹</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Sudan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坦桑尼亚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Tanzania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多哥</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Togo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突尼斯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Tunisia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乌干达</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Uganda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布基纳法索</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Burkina Faso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刚果(金)</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Congo,DR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赞比亚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Zambia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津巴布韦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Zimbabwe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莱索托</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Lesotho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梅利利亚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Melilla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斯威士兰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Swaziland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厄立特里亚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Eritrea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马约特</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Mayotte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260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南苏丹共和国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Republic of South Sudan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299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非洲其他国家(地区)</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Afr.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300 欧  洲                                   Europe</w:t>
            </w:r>
          </w:p>
          <w:tbl>
            <w:tblPr>
              <w:tblStyle w:val="11"/>
              <w:tblW w:w="8042" w:type="dxa"/>
              <w:tblInd w:w="0" w:type="dxa"/>
              <w:tblLayout w:type="fixed"/>
              <w:tblCellMar>
                <w:top w:w="0" w:type="dxa"/>
                <w:left w:w="108" w:type="dxa"/>
                <w:bottom w:w="0" w:type="dxa"/>
                <w:right w:w="108" w:type="dxa"/>
              </w:tblCellMar>
            </w:tblPr>
            <w:tblGrid>
              <w:gridCol w:w="1780"/>
              <w:gridCol w:w="2860"/>
              <w:gridCol w:w="3402"/>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比利时</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Belgium</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丹麦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Denmark</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英国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Kingdom</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德国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Germany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France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爱尔兰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Ireland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意大利</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Italy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卢森堡</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Luxembourg</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荷兰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Netherlands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希腊</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Greece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葡萄牙</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Portugal</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西班牙</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Spain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阿尔巴尼亚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Albania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安道尔</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Andorra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奥地利</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Austria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保加利亚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Bulgaria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芬兰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Finland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直布罗陀</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Gibraltar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匈牙利</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Hungary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冰岛</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Iceland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列支敦士登</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Liechtenstein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马耳他</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Malta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摩纳哥</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Monaco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挪威</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Norway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Poland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罗马尼亚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Romania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圣马力诺</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San Marino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瑞典</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Sweden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瑞士</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Switzerland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爱沙尼亚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Estonia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拉脱维亚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Latvia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立陶宛</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Lithuania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格鲁吉亚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Georgia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亚美尼亚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Armenia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阿塞拜疆</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Azerbai jan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白俄罗斯</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Belarus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摩尔多瓦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Moldova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俄罗斯联邦</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Russian Federation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乌克兰</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Ukraine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350</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斯洛文尼亚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Slovenia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351</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克罗地亚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Croatia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352</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捷克</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Czech Republic</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353</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斯洛伐克</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Slovakia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354</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前南马其顿</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Macedonia,FYR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355</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波黑</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Bosnia and Hercegovina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356</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梵蒂冈城国</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Vatican City State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357</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法罗群岛</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Faroe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358</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塞尔维亚</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Serbia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黑山</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Montenegro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399</w:t>
                  </w:r>
                </w:p>
              </w:tc>
              <w:tc>
                <w:tcPr>
                  <w:tcW w:w="28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欧洲其他国家(地区)</w:t>
                  </w:r>
                </w:p>
              </w:tc>
              <w:tc>
                <w:tcPr>
                  <w:tcW w:w="3402"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Eur.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400 拉丁美洲                                Latin America</w:t>
            </w:r>
          </w:p>
          <w:tbl>
            <w:tblPr>
              <w:tblStyle w:val="11"/>
              <w:tblW w:w="8512" w:type="dxa"/>
              <w:tblInd w:w="0" w:type="dxa"/>
              <w:tblLayout w:type="fixed"/>
              <w:tblCellMar>
                <w:top w:w="0" w:type="dxa"/>
                <w:left w:w="108" w:type="dxa"/>
                <w:bottom w:w="0" w:type="dxa"/>
                <w:right w:w="108" w:type="dxa"/>
              </w:tblCellMar>
            </w:tblPr>
            <w:tblGrid>
              <w:gridCol w:w="1780"/>
              <w:gridCol w:w="2905"/>
              <w:gridCol w:w="3827"/>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安提瓜和巴布达</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Antigua &amp; Barbuda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阿根廷</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Argentina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阿鲁巴</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Aruba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巴哈马</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Bahamas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巴巴多斯</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Barbados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伯利兹</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Belize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多民族玻利维亚国</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Estado Plurinacional de Bolivia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博内尔</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Bonaire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巴西</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Brazil</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开曼群岛</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Cayman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智利</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Chile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哥伦比亚</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Colombia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多米尼克</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Dominica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哥斯达黎加</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Costa Rica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古巴</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Cuba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库腊索岛</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Curacao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多米尼加共和国</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Dominican Republic</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厄瓜多尔</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Ecuador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法属圭亚那</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French Guiana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格林纳达</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Grenada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瓜德罗普</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Guadeloupe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危地马拉</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Guatemala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圭亚那</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Guyana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海地</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Haiti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洪都拉斯</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Honduras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牙买加</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Jamaica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马提尼克</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Martinique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墨西哥</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Mexico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蒙特塞拉特</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Montserrat</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尼加拉瓜</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Nicaragua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巴拿马</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Panama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巴拉圭</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Paraguay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秘鲁</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Peru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波多黎各</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Puerto Rico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萨巴</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Saba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圣卢西亚</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Lucia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圣马丁岛</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Martin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圣文森特和格林纳丁斯</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Vincent and Grenadines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萨尔瓦多</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El Salvador</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苏里南</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Suriname</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特立尼达和多巴哥</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Trinidad and Tobago</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特克斯和凯科斯群岛</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Turks and Caicos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乌拉圭</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Uruguay</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委内瑞拉</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Venezuela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英属维尔京群岛</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Virgin Islands, British</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圣其茨和尼维斯</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Kitts and Nevis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圣皮埃尔和密克隆</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Saint.Pierre and Miquelon</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荷属安地列斯</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Netherlands Antilles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499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拉丁美洲其他国家(地区)</w:t>
                  </w:r>
                </w:p>
              </w:tc>
              <w:tc>
                <w:tcPr>
                  <w:tcW w:w="3827"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L.Amer.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 xml:space="preserve">500 北美洲:                                 North America:  </w:t>
            </w:r>
          </w:p>
          <w:tbl>
            <w:tblPr>
              <w:tblStyle w:val="11"/>
              <w:tblW w:w="7845" w:type="dxa"/>
              <w:tblInd w:w="0" w:type="dxa"/>
              <w:tblLayout w:type="fixed"/>
              <w:tblCellMar>
                <w:top w:w="0" w:type="dxa"/>
                <w:left w:w="108" w:type="dxa"/>
                <w:bottom w:w="0" w:type="dxa"/>
                <w:right w:w="108" w:type="dxa"/>
              </w:tblCellMar>
            </w:tblPr>
            <w:tblGrid>
              <w:gridCol w:w="1780"/>
              <w:gridCol w:w="2905"/>
              <w:gridCol w:w="3160"/>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加拿大</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Canada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美国</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States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格陵兰</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Greenland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百慕大</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Bermuda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599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北美洲其他国家(地区)</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N.Amer.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600 大洋洲:                                 Oceania:</w:t>
            </w:r>
          </w:p>
          <w:tbl>
            <w:tblPr>
              <w:tblStyle w:val="11"/>
              <w:tblW w:w="7845" w:type="dxa"/>
              <w:tblInd w:w="0" w:type="dxa"/>
              <w:tblLayout w:type="fixed"/>
              <w:tblCellMar>
                <w:top w:w="0" w:type="dxa"/>
                <w:left w:w="108" w:type="dxa"/>
                <w:bottom w:w="0" w:type="dxa"/>
                <w:right w:w="108" w:type="dxa"/>
              </w:tblCellMar>
            </w:tblPr>
            <w:tblGrid>
              <w:gridCol w:w="1780"/>
              <w:gridCol w:w="2905"/>
              <w:gridCol w:w="3160"/>
            </w:tblGrid>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澳大利亚</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Australia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库克群岛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Cook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斐济</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Fiji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盖比群岛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Gambier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马克萨斯群岛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Marquesas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瑙鲁</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Nauru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新喀里多尼亚</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New Caledonia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瓦努阿图</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Vanuatu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新西兰</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New Zealand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诺福克岛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Norfolk Island</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巴布亚新几内亚</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Papua New Guinea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社会群岛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Society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所罗门群岛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Solomon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614</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汤加</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Tonga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土阿莫土群岛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Tuamotu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616</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土布艾群岛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Tubai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617</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萨摩亚</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Samoa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618</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基里巴斯</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Kiribati</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图瓦卢</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Tuvalu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620</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密克罗尼西亚联邦</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Micronesia, Fs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马绍尔群岛</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Marshall Islands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622</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帕劳</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Palau</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623</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法属波利尼西亚</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French Polynesia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625</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瓦利斯和浮图纳</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Wallis and Futuna</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699</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大洋洲其他国家(地区)</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Ocean. nes</w:t>
                  </w: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701</w:t>
                  </w:r>
                </w:p>
              </w:tc>
              <w:tc>
                <w:tcPr>
                  <w:tcW w:w="2905"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国(地)别不详</w:t>
                  </w:r>
                </w:p>
              </w:tc>
              <w:tc>
                <w:tcPr>
                  <w:tcW w:w="3160" w:type="dxa"/>
                  <w:tcBorders>
                    <w:top w:val="nil"/>
                    <w:left w:val="nil"/>
                    <w:bottom w:val="nil"/>
                    <w:right w:val="nil"/>
                  </w:tcBorders>
                  <w:shd w:val="clear" w:color="auto" w:fill="auto"/>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Countries(reg.) unknown</w:t>
                  </w:r>
                </w:p>
              </w:tc>
            </w:tr>
          </w:tbl>
          <w:p>
            <w:pPr>
              <w:widowControl/>
              <w:spacing w:before="100" w:beforeAutospacing="1" w:after="100" w:afterAutospacing="1" w:line="375" w:lineRule="atLeast"/>
              <w:jc w:val="left"/>
              <w:rPr>
                <w:rFonts w:ascii="宋体" w:hAnsi="宋体" w:cs="宋体"/>
                <w:color w:val="000000"/>
                <w:kern w:val="0"/>
                <w:szCs w:val="21"/>
              </w:rPr>
            </w:pPr>
          </w:p>
        </w:tc>
      </w:tr>
    </w:tbl>
    <w:p>
      <w:pPr>
        <w:ind w:firstLine="420" w:firstLineChars="200"/>
        <w:rPr>
          <w:rFonts w:ascii="宋体" w:hAnsi="宋体"/>
        </w:rPr>
      </w:pPr>
    </w:p>
    <w:p>
      <w:pPr>
        <w:spacing w:line="440" w:lineRule="exact"/>
        <w:jc w:val="center"/>
        <w:rPr>
          <w:rFonts w:ascii="宋体" w:hAnsi="宋体"/>
          <w:b/>
          <w:bCs/>
          <w:sz w:val="32"/>
        </w:rPr>
      </w:pPr>
    </w:p>
    <w:p>
      <w:pPr>
        <w:spacing w:line="440" w:lineRule="exact"/>
        <w:jc w:val="center"/>
        <w:rPr>
          <w:rFonts w:ascii="宋体" w:hAnsi="宋体"/>
          <w:bCs/>
          <w:sz w:val="32"/>
        </w:rPr>
      </w:pPr>
      <w:r>
        <w:rPr>
          <w:rFonts w:hint="eastAsia" w:ascii="宋体" w:hAnsi="宋体"/>
          <w:bCs/>
          <w:sz w:val="32"/>
        </w:rPr>
        <w:br w:type="page"/>
      </w:r>
    </w:p>
    <w:p>
      <w:pPr>
        <w:spacing w:line="440" w:lineRule="exact"/>
        <w:jc w:val="center"/>
        <w:rPr>
          <w:rFonts w:ascii="宋体" w:hAnsi="宋体"/>
          <w:b/>
          <w:sz w:val="32"/>
        </w:rPr>
      </w:pPr>
      <w:r>
        <w:rPr>
          <w:rFonts w:hint="eastAsia" w:ascii="宋体" w:hAnsi="宋体"/>
          <w:b/>
          <w:sz w:val="32"/>
        </w:rPr>
        <w:t>（五）数据来源参考表式：境外企业基本信息采集表</w:t>
      </w:r>
    </w:p>
    <w:p>
      <w:pPr>
        <w:spacing w:line="440" w:lineRule="exact"/>
        <w:jc w:val="center"/>
        <w:rPr>
          <w:rFonts w:ascii="宋体" w:hAnsi="宋体"/>
          <w:b/>
          <w:bCs/>
          <w:sz w:val="32"/>
        </w:rPr>
      </w:pPr>
      <w:r>
        <w:rPr>
          <w:rFonts w:hint="eastAsia" w:ascii="宋体" w:hAnsi="宋体"/>
          <w:b/>
          <w:bCs/>
          <w:sz w:val="18"/>
        </w:rPr>
        <w:t>2 0　    年</w:t>
      </w:r>
    </w:p>
    <w:p>
      <w:pPr>
        <w:pStyle w:val="16"/>
        <w:spacing w:line="220" w:lineRule="exact"/>
        <w:rPr>
          <w:rFonts w:ascii="宋体" w:hAnsi="宋体" w:eastAsia="宋体"/>
          <w:b w:val="0"/>
          <w:bCs/>
          <w:sz w:val="18"/>
        </w:rPr>
      </w:pPr>
      <w:r>
        <w:rPr>
          <w:rFonts w:hint="eastAsia" w:ascii="宋体" w:hAnsi="宋体" w:eastAsia="宋体"/>
          <w:b w:val="0"/>
          <w:bCs/>
          <w:sz w:val="18"/>
        </w:rPr>
        <w:t xml:space="preserve">境外企业名称(中文)：　　　　　　　　　　　　　　　　　　     </w:t>
      </w:r>
    </w:p>
    <w:p>
      <w:pPr>
        <w:pStyle w:val="16"/>
        <w:spacing w:line="220" w:lineRule="exact"/>
        <w:rPr>
          <w:rFonts w:ascii="宋体" w:hAnsi="宋体" w:eastAsia="宋体"/>
          <w:b w:val="0"/>
          <w:bCs/>
          <w:sz w:val="18"/>
        </w:rPr>
      </w:pPr>
      <w:r>
        <w:rPr>
          <w:rFonts w:hint="eastAsia" w:ascii="宋体" w:hAnsi="宋体" w:eastAsia="宋体"/>
          <w:b w:val="0"/>
          <w:bCs/>
          <w:sz w:val="18"/>
        </w:rPr>
        <w:t xml:space="preserve">(英文)：　　　　　　　　　　　　　　　　　　　　　　　　　　　　    </w:t>
      </w:r>
    </w:p>
    <w:p>
      <w:pPr>
        <w:pStyle w:val="16"/>
        <w:spacing w:line="220" w:lineRule="exact"/>
        <w:rPr>
          <w:rFonts w:ascii="宋体" w:hAnsi="宋体" w:eastAsia="宋体"/>
          <w:b w:val="0"/>
          <w:bCs/>
          <w:sz w:val="18"/>
        </w:rPr>
      </w:pPr>
      <w:r>
        <w:rPr>
          <w:rFonts w:hint="eastAsia" w:ascii="宋体" w:hAnsi="宋体" w:eastAsia="宋体"/>
          <w:b w:val="0"/>
          <w:bCs/>
          <w:sz w:val="18"/>
        </w:rPr>
        <w:t>所在国家：</w:t>
      </w:r>
      <w:r>
        <w:rPr>
          <w:rFonts w:hint="eastAsia" w:ascii="宋体" w:hAnsi="宋体" w:eastAsia="宋体"/>
          <w:b w:val="0"/>
          <w:bCs/>
          <w:sz w:val="18"/>
          <w:u w:val="single"/>
        </w:rPr>
        <w:t>　　　　</w:t>
      </w:r>
      <w:r>
        <w:rPr>
          <w:rFonts w:hint="eastAsia" w:ascii="宋体" w:hAnsi="宋体" w:eastAsia="宋体"/>
          <w:b w:val="0"/>
          <w:bCs/>
          <w:sz w:val="18"/>
        </w:rPr>
        <w:t>所在城市：</w:t>
      </w:r>
      <w:r>
        <w:rPr>
          <w:rFonts w:hint="eastAsia" w:ascii="宋体" w:hAnsi="宋体" w:eastAsia="宋体"/>
          <w:b w:val="0"/>
          <w:bCs/>
          <w:sz w:val="18"/>
          <w:u w:val="single"/>
        </w:rPr>
        <w:t>　　　　</w:t>
      </w:r>
      <w:r>
        <w:rPr>
          <w:rFonts w:hint="eastAsia" w:ascii="宋体" w:hAnsi="宋体" w:eastAsia="宋体"/>
          <w:b w:val="0"/>
          <w:bCs/>
          <w:sz w:val="18"/>
        </w:rPr>
        <w:t xml:space="preserve">　　　　　　　　　　　　　　　      　                                                                               </w:t>
      </w:r>
    </w:p>
    <w:p>
      <w:pPr>
        <w:pStyle w:val="16"/>
        <w:spacing w:line="220" w:lineRule="exact"/>
        <w:rPr>
          <w:rFonts w:ascii="宋体" w:hAnsi="宋体" w:eastAsia="宋体"/>
          <w:b w:val="0"/>
          <w:bCs/>
          <w:sz w:val="18"/>
        </w:rPr>
      </w:pPr>
      <w:r>
        <w:rPr>
          <w:rFonts w:hint="eastAsia" w:ascii="宋体" w:hAnsi="宋体" w:eastAsia="宋体"/>
          <w:b w:val="0"/>
          <w:bCs/>
          <w:sz w:val="18"/>
        </w:rPr>
        <w:t xml:space="preserve">设立日期：　　　　　　　　　　　　　　　　　　　　　　　　　         </w:t>
      </w:r>
    </w:p>
    <w:p>
      <w:pPr>
        <w:pStyle w:val="16"/>
        <w:spacing w:line="220" w:lineRule="exact"/>
        <w:rPr>
          <w:rFonts w:ascii="宋体" w:hAnsi="宋体" w:eastAsia="宋体"/>
          <w:b w:val="0"/>
          <w:bCs/>
          <w:sz w:val="18"/>
        </w:rPr>
      </w:pPr>
      <w:r>
        <w:rPr>
          <w:rFonts w:hint="eastAsia" w:ascii="宋体" w:hAnsi="宋体" w:eastAsia="宋体"/>
          <w:b w:val="0"/>
          <w:bCs/>
          <w:sz w:val="18"/>
        </w:rPr>
        <w:t xml:space="preserve">企业类别：                                                                      </w:t>
      </w:r>
    </w:p>
    <w:p>
      <w:pPr>
        <w:pStyle w:val="16"/>
        <w:spacing w:line="220" w:lineRule="exact"/>
        <w:rPr>
          <w:rFonts w:ascii="宋体" w:hAnsi="宋体" w:eastAsia="宋体"/>
          <w:b w:val="0"/>
          <w:bCs/>
          <w:sz w:val="18"/>
        </w:rPr>
      </w:pPr>
      <w:r>
        <w:rPr>
          <w:rFonts w:hint="eastAsia" w:ascii="宋体" w:hAnsi="宋体" w:eastAsia="宋体"/>
          <w:b w:val="0"/>
          <w:bCs/>
          <w:sz w:val="18"/>
        </w:rPr>
        <w:t>设立方式：子公司</w:t>
      </w:r>
      <w:r>
        <w:rPr>
          <w:rFonts w:ascii="宋体" w:hAnsi="宋体" w:eastAsia="宋体"/>
          <w:b w:val="0"/>
          <w:bCs/>
          <w:sz w:val="18"/>
        </w:rPr>
        <w:t>□</w:t>
      </w:r>
      <w:r>
        <w:rPr>
          <w:rFonts w:hint="eastAsia" w:ascii="宋体" w:hAnsi="宋体" w:eastAsia="宋体"/>
          <w:b w:val="0"/>
          <w:bCs/>
          <w:sz w:val="18"/>
        </w:rPr>
        <w:t>　联营公司</w:t>
      </w:r>
      <w:r>
        <w:rPr>
          <w:rFonts w:ascii="宋体" w:hAnsi="宋体" w:eastAsia="宋体"/>
          <w:b w:val="0"/>
          <w:bCs/>
          <w:sz w:val="18"/>
        </w:rPr>
        <w:t>□</w:t>
      </w:r>
      <w:r>
        <w:rPr>
          <w:rFonts w:hint="eastAsia" w:ascii="宋体" w:hAnsi="宋体" w:eastAsia="宋体"/>
          <w:b w:val="0"/>
          <w:bCs/>
          <w:sz w:val="18"/>
        </w:rPr>
        <w:t>　分支机构</w:t>
      </w:r>
      <w:r>
        <w:rPr>
          <w:rFonts w:ascii="宋体" w:hAnsi="宋体" w:eastAsia="宋体"/>
          <w:b w:val="0"/>
          <w:bCs/>
          <w:sz w:val="18"/>
        </w:rPr>
        <w:t>□</w:t>
      </w:r>
      <w:r>
        <w:rPr>
          <w:rFonts w:hint="eastAsia" w:ascii="宋体" w:hAnsi="宋体" w:eastAsia="宋体"/>
          <w:b w:val="0"/>
          <w:bCs/>
          <w:sz w:val="18"/>
        </w:rPr>
        <w:t xml:space="preserve">　                          </w:t>
      </w:r>
    </w:p>
    <w:p>
      <w:pPr>
        <w:pStyle w:val="16"/>
        <w:spacing w:line="220" w:lineRule="exact"/>
        <w:rPr>
          <w:rFonts w:ascii="宋体" w:hAnsi="宋体" w:eastAsia="宋体"/>
          <w:b w:val="0"/>
          <w:bCs/>
          <w:sz w:val="18"/>
        </w:rPr>
      </w:pPr>
      <w:r>
        <w:rPr>
          <w:rFonts w:hint="eastAsia" w:ascii="宋体" w:hAnsi="宋体" w:eastAsia="宋体"/>
          <w:b w:val="0"/>
          <w:bCs/>
          <w:sz w:val="18"/>
        </w:rPr>
        <w:t xml:space="preserve">中方持股比例：     %　　　　　　　　　　　　               　　       </w:t>
      </w:r>
    </w:p>
    <w:p>
      <w:pPr>
        <w:pStyle w:val="16"/>
        <w:spacing w:line="220" w:lineRule="exact"/>
        <w:rPr>
          <w:rFonts w:ascii="宋体" w:hAnsi="宋体" w:eastAsia="宋体"/>
          <w:b w:val="0"/>
          <w:bCs/>
          <w:sz w:val="18"/>
        </w:rPr>
      </w:pPr>
      <w:r>
        <w:rPr>
          <w:rFonts w:hint="eastAsia" w:ascii="宋体" w:hAnsi="宋体" w:eastAsia="宋体"/>
          <w:b w:val="0"/>
          <w:bCs/>
          <w:sz w:val="18"/>
        </w:rPr>
        <w:t>当前状态：筹备设立</w:t>
      </w:r>
      <w:r>
        <w:rPr>
          <w:rFonts w:ascii="宋体" w:hAnsi="宋体" w:eastAsia="宋体"/>
          <w:b w:val="0"/>
          <w:bCs/>
          <w:sz w:val="18"/>
        </w:rPr>
        <w:t>□</w:t>
      </w:r>
      <w:r>
        <w:rPr>
          <w:rFonts w:hint="eastAsia" w:ascii="宋体" w:hAnsi="宋体" w:eastAsia="宋体"/>
          <w:b w:val="0"/>
          <w:bCs/>
          <w:sz w:val="18"/>
        </w:rPr>
        <w:t xml:space="preserve"> 正在经营</w:t>
      </w:r>
      <w:r>
        <w:rPr>
          <w:rFonts w:ascii="宋体" w:hAnsi="宋体" w:eastAsia="宋体"/>
          <w:b w:val="0"/>
          <w:bCs/>
          <w:sz w:val="18"/>
        </w:rPr>
        <w:t>□</w:t>
      </w:r>
      <w:r>
        <w:rPr>
          <w:rFonts w:hint="eastAsia" w:ascii="宋体" w:hAnsi="宋体" w:eastAsia="宋体"/>
          <w:b w:val="0"/>
          <w:bCs/>
          <w:sz w:val="18"/>
        </w:rPr>
        <w:t xml:space="preserve"> 暂停经营</w:t>
      </w:r>
      <w:r>
        <w:rPr>
          <w:rFonts w:ascii="宋体" w:hAnsi="宋体" w:eastAsia="宋体"/>
          <w:b w:val="0"/>
          <w:bCs/>
          <w:sz w:val="18"/>
        </w:rPr>
        <w:t>□</w:t>
      </w:r>
      <w:r>
        <w:rPr>
          <w:rFonts w:hint="eastAsia" w:ascii="宋体" w:hAnsi="宋体" w:eastAsia="宋体"/>
          <w:b w:val="0"/>
          <w:bCs/>
          <w:sz w:val="18"/>
        </w:rPr>
        <w:t xml:space="preserve">  撤(注)销</w:t>
      </w:r>
      <w:r>
        <w:rPr>
          <w:rFonts w:ascii="宋体" w:hAnsi="宋体" w:eastAsia="宋体"/>
          <w:b w:val="0"/>
          <w:bCs/>
          <w:sz w:val="18"/>
        </w:rPr>
        <w:t>□</w:t>
      </w:r>
      <w:r>
        <w:rPr>
          <w:rFonts w:hint="eastAsia" w:ascii="宋体" w:hAnsi="宋体" w:eastAsia="宋体"/>
          <w:b w:val="0"/>
          <w:bCs/>
          <w:sz w:val="18"/>
        </w:rPr>
        <w:t xml:space="preserve">                计量单位：万美元</w:t>
      </w:r>
    </w:p>
    <w:tbl>
      <w:tblPr>
        <w:tblStyle w:val="11"/>
        <w:tblW w:w="93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48"/>
        <w:gridCol w:w="1007"/>
        <w:gridCol w:w="23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6048" w:type="dxa"/>
            <w:tcBorders>
              <w:tl2br w:val="nil"/>
              <w:tr2bl w:val="nil"/>
            </w:tcBorders>
            <w:vAlign w:val="center"/>
          </w:tcPr>
          <w:p>
            <w:pPr>
              <w:jc w:val="center"/>
              <w:rPr>
                <w:rFonts w:ascii="宋体" w:hAnsi="宋体"/>
                <w:bCs/>
                <w:sz w:val="18"/>
              </w:rPr>
            </w:pPr>
            <w:r>
              <w:rPr>
                <w:rFonts w:hint="eastAsia" w:ascii="宋体" w:hAnsi="宋体"/>
                <w:bCs/>
                <w:sz w:val="18"/>
              </w:rPr>
              <w:t>指      标</w:t>
            </w:r>
          </w:p>
        </w:tc>
        <w:tc>
          <w:tcPr>
            <w:tcW w:w="1007" w:type="dxa"/>
            <w:tcBorders>
              <w:tl2br w:val="nil"/>
              <w:tr2bl w:val="nil"/>
            </w:tcBorders>
          </w:tcPr>
          <w:p>
            <w:pPr>
              <w:jc w:val="center"/>
              <w:rPr>
                <w:rFonts w:ascii="宋体" w:hAnsi="宋体"/>
                <w:bCs/>
                <w:sz w:val="18"/>
              </w:rPr>
            </w:pPr>
            <w:r>
              <w:rPr>
                <w:rFonts w:hint="eastAsia" w:ascii="宋体" w:hAnsi="宋体"/>
                <w:bCs/>
                <w:sz w:val="18"/>
              </w:rPr>
              <w:t>序号</w:t>
            </w:r>
          </w:p>
        </w:tc>
        <w:tc>
          <w:tcPr>
            <w:tcW w:w="2313" w:type="dxa"/>
            <w:tcBorders>
              <w:tl2br w:val="nil"/>
              <w:tr2bl w:val="nil"/>
            </w:tcBorders>
            <w:vAlign w:val="center"/>
          </w:tcPr>
          <w:p>
            <w:pPr>
              <w:jc w:val="center"/>
              <w:rPr>
                <w:rFonts w:ascii="宋体" w:hAnsi="宋体"/>
                <w:bCs/>
                <w:sz w:val="18"/>
              </w:rPr>
            </w:pPr>
            <w:r>
              <w:rPr>
                <w:rFonts w:hint="eastAsia" w:ascii="宋体" w:hAnsi="宋体"/>
                <w:bCs/>
                <w:sz w:val="18"/>
              </w:rPr>
              <w:t>内容与数值</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6048" w:type="dxa"/>
            <w:tcBorders>
              <w:tl2br w:val="nil"/>
              <w:tr2bl w:val="nil"/>
            </w:tcBorders>
            <w:vAlign w:val="center"/>
          </w:tcPr>
          <w:p>
            <w:pPr>
              <w:jc w:val="center"/>
              <w:rPr>
                <w:rFonts w:ascii="宋体" w:hAnsi="宋体"/>
                <w:bCs/>
                <w:sz w:val="18"/>
              </w:rPr>
            </w:pPr>
            <w:r>
              <w:rPr>
                <w:rFonts w:hint="eastAsia" w:ascii="宋体" w:hAnsi="宋体"/>
                <w:bCs/>
                <w:sz w:val="18"/>
              </w:rPr>
              <w:t>甲</w:t>
            </w:r>
          </w:p>
        </w:tc>
        <w:tc>
          <w:tcPr>
            <w:tcW w:w="1007" w:type="dxa"/>
            <w:tcBorders>
              <w:tl2br w:val="nil"/>
              <w:tr2bl w:val="nil"/>
            </w:tcBorders>
          </w:tcPr>
          <w:p>
            <w:pPr>
              <w:jc w:val="center"/>
              <w:rPr>
                <w:rFonts w:ascii="宋体" w:hAnsi="宋体"/>
                <w:bCs/>
                <w:sz w:val="18"/>
              </w:rPr>
            </w:pPr>
            <w:r>
              <w:rPr>
                <w:rFonts w:hint="eastAsia" w:ascii="宋体" w:hAnsi="宋体"/>
                <w:bCs/>
                <w:sz w:val="18"/>
              </w:rPr>
              <w:t>乙</w:t>
            </w:r>
          </w:p>
        </w:tc>
        <w:tc>
          <w:tcPr>
            <w:tcW w:w="2313" w:type="dxa"/>
            <w:tcBorders>
              <w:tl2br w:val="nil"/>
              <w:tr2bl w:val="nil"/>
            </w:tcBorders>
            <w:vAlign w:val="center"/>
          </w:tcPr>
          <w:p>
            <w:pPr>
              <w:jc w:val="center"/>
              <w:rPr>
                <w:rFonts w:ascii="宋体" w:hAnsi="宋体"/>
                <w:bCs/>
                <w:sz w:val="18"/>
              </w:rPr>
            </w:pPr>
            <w:r>
              <w:rPr>
                <w:rFonts w:hint="eastAsia" w:ascii="宋体" w:hAnsi="宋体"/>
                <w:bCs/>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332" w:hRule="atLeast"/>
        </w:trPr>
        <w:tc>
          <w:tcPr>
            <w:tcW w:w="6048" w:type="dxa"/>
            <w:tcBorders>
              <w:tl2br w:val="nil"/>
              <w:tr2bl w:val="nil"/>
            </w:tcBorders>
          </w:tcPr>
          <w:p>
            <w:pPr>
              <w:numPr>
                <w:ilvl w:val="0"/>
                <w:numId w:val="8"/>
              </w:numPr>
              <w:spacing w:line="220" w:lineRule="exact"/>
              <w:rPr>
                <w:rFonts w:ascii="宋体" w:hAnsi="宋体"/>
                <w:bCs/>
                <w:sz w:val="18"/>
              </w:rPr>
            </w:pPr>
            <w:r>
              <w:rPr>
                <w:rFonts w:hint="eastAsia" w:ascii="宋体" w:hAnsi="宋体"/>
                <w:bCs/>
                <w:sz w:val="18"/>
              </w:rPr>
              <w:t>基本情况</w:t>
            </w:r>
          </w:p>
          <w:p>
            <w:pPr>
              <w:spacing w:line="220" w:lineRule="exact"/>
              <w:ind w:firstLine="360"/>
              <w:rPr>
                <w:rFonts w:ascii="宋体" w:hAnsi="宋体" w:eastAsia="宋体"/>
                <w:bCs/>
                <w:sz w:val="18"/>
              </w:rPr>
            </w:pPr>
            <w:r>
              <w:rPr>
                <w:rFonts w:hint="eastAsia" w:ascii="宋体" w:hAnsi="宋体"/>
                <w:bCs/>
                <w:sz w:val="18"/>
              </w:rPr>
              <w:t>1．资产总计</w:t>
            </w:r>
          </w:p>
          <w:p>
            <w:pPr>
              <w:spacing w:line="220" w:lineRule="exact"/>
              <w:ind w:firstLine="360"/>
              <w:rPr>
                <w:rFonts w:ascii="宋体" w:hAnsi="宋体" w:eastAsia="宋体"/>
                <w:bCs/>
                <w:sz w:val="18"/>
              </w:rPr>
            </w:pPr>
            <w:r>
              <w:rPr>
                <w:rFonts w:hint="eastAsia" w:ascii="宋体" w:hAnsi="宋体"/>
                <w:bCs/>
                <w:sz w:val="18"/>
              </w:rPr>
              <w:t>2．负债合计</w:t>
            </w:r>
          </w:p>
          <w:p>
            <w:pPr>
              <w:spacing w:line="220" w:lineRule="exact"/>
              <w:rPr>
                <w:rFonts w:ascii="宋体" w:hAnsi="宋体"/>
                <w:bCs/>
                <w:sz w:val="18"/>
              </w:rPr>
            </w:pPr>
            <w:r>
              <w:rPr>
                <w:rFonts w:hint="eastAsia" w:ascii="宋体" w:hAnsi="宋体"/>
                <w:bCs/>
                <w:sz w:val="18"/>
              </w:rPr>
              <w:t xml:space="preserve">  　　 2-1．其中：对境内投资者的负债</w:t>
            </w:r>
          </w:p>
          <w:p>
            <w:pPr>
              <w:spacing w:line="220" w:lineRule="exact"/>
              <w:ind w:firstLine="360"/>
              <w:rPr>
                <w:rFonts w:ascii="宋体" w:hAnsi="宋体" w:eastAsia="宋体"/>
                <w:bCs/>
                <w:sz w:val="18"/>
              </w:rPr>
            </w:pPr>
            <w:r>
              <w:rPr>
                <w:rFonts w:hint="eastAsia" w:ascii="宋体" w:hAnsi="宋体"/>
                <w:bCs/>
                <w:sz w:val="18"/>
              </w:rPr>
              <w:t>3．所有者权益合计</w:t>
            </w:r>
          </w:p>
          <w:p>
            <w:pPr>
              <w:spacing w:line="220" w:lineRule="exact"/>
              <w:ind w:firstLine="630"/>
              <w:rPr>
                <w:rFonts w:ascii="宋体" w:hAnsi="宋体"/>
                <w:bCs/>
                <w:sz w:val="18"/>
              </w:rPr>
            </w:pPr>
            <w:r>
              <w:rPr>
                <w:rFonts w:hint="eastAsia" w:ascii="宋体" w:hAnsi="宋体"/>
                <w:bCs/>
                <w:sz w:val="18"/>
              </w:rPr>
              <w:t xml:space="preserve">3-1．其中：实收资本（中方） </w:t>
            </w:r>
          </w:p>
          <w:p>
            <w:pPr>
              <w:spacing w:line="220" w:lineRule="exact"/>
              <w:ind w:firstLine="630"/>
              <w:rPr>
                <w:rFonts w:ascii="宋体" w:hAnsi="宋体"/>
                <w:bCs/>
                <w:sz w:val="18"/>
              </w:rPr>
            </w:pPr>
            <w:r>
              <w:rPr>
                <w:rFonts w:ascii="宋体" w:hAnsi="宋体"/>
                <w:bCs/>
                <w:sz w:val="18"/>
              </w:rPr>
              <w:t xml:space="preserve">         </w:t>
            </w:r>
            <w:r>
              <w:rPr>
                <w:rFonts w:hint="eastAsia" w:ascii="宋体" w:hAnsi="宋体"/>
                <w:bCs/>
                <w:sz w:val="18"/>
              </w:rPr>
              <w:t xml:space="preserve"> </w:t>
            </w:r>
            <w:r>
              <w:rPr>
                <w:rFonts w:ascii="宋体" w:hAnsi="宋体"/>
                <w:bCs/>
                <w:sz w:val="18"/>
              </w:rPr>
              <w:t xml:space="preserve"> </w:t>
            </w:r>
            <w:r>
              <w:rPr>
                <w:rFonts w:hint="eastAsia" w:ascii="宋体" w:hAnsi="宋体"/>
                <w:bCs/>
                <w:sz w:val="18"/>
              </w:rPr>
              <w:t>未分配利润       　</w:t>
            </w:r>
            <w:r>
              <w:rPr>
                <w:rFonts w:ascii="宋体" w:hAnsi="宋体"/>
                <w:bCs/>
                <w:sz w:val="18"/>
              </w:rPr>
              <w:t xml:space="preserve"> </w:t>
            </w:r>
            <w:r>
              <w:rPr>
                <w:rFonts w:hint="eastAsia" w:ascii="宋体" w:hAnsi="宋体"/>
                <w:bCs/>
                <w:sz w:val="18"/>
              </w:rPr>
              <w:t xml:space="preserve">  </w:t>
            </w:r>
          </w:p>
          <w:p>
            <w:pPr>
              <w:spacing w:line="220" w:lineRule="exact"/>
              <w:ind w:firstLine="360"/>
              <w:rPr>
                <w:rFonts w:ascii="宋体" w:hAnsi="宋体"/>
                <w:bCs/>
                <w:sz w:val="18"/>
              </w:rPr>
            </w:pPr>
            <w:r>
              <w:rPr>
                <w:rFonts w:hint="eastAsia" w:ascii="宋体" w:hAnsi="宋体"/>
                <w:bCs/>
                <w:sz w:val="18"/>
              </w:rPr>
              <w:t>4．销售(营业)收入总额</w:t>
            </w:r>
          </w:p>
          <w:p>
            <w:pPr>
              <w:spacing w:line="220" w:lineRule="exact"/>
              <w:ind w:firstLine="360"/>
              <w:rPr>
                <w:rFonts w:ascii="宋体" w:hAnsi="宋体"/>
                <w:bCs/>
                <w:sz w:val="18"/>
              </w:rPr>
            </w:pPr>
            <w:r>
              <w:rPr>
                <w:rFonts w:hint="eastAsia" w:ascii="宋体" w:hAnsi="宋体"/>
                <w:bCs/>
                <w:sz w:val="18"/>
              </w:rPr>
              <w:t>5．利润总额</w:t>
            </w:r>
          </w:p>
          <w:p>
            <w:pPr>
              <w:spacing w:line="220" w:lineRule="exact"/>
              <w:ind w:firstLine="360"/>
              <w:rPr>
                <w:rFonts w:ascii="宋体" w:hAnsi="宋体"/>
                <w:bCs/>
                <w:color w:val="000000"/>
                <w:sz w:val="18"/>
              </w:rPr>
            </w:pPr>
            <w:r>
              <w:rPr>
                <w:rFonts w:hint="eastAsia" w:ascii="宋体" w:hAnsi="宋体"/>
                <w:bCs/>
                <w:color w:val="000000"/>
                <w:sz w:val="18"/>
              </w:rPr>
              <w:t xml:space="preserve">   5-1.其中：净利润</w:t>
            </w:r>
          </w:p>
          <w:p>
            <w:pPr>
              <w:spacing w:line="220" w:lineRule="exact"/>
              <w:ind w:firstLine="360"/>
              <w:rPr>
                <w:rFonts w:ascii="宋体" w:hAnsi="宋体"/>
                <w:bCs/>
                <w:sz w:val="18"/>
              </w:rPr>
            </w:pPr>
            <w:r>
              <w:rPr>
                <w:rFonts w:hint="eastAsia" w:ascii="宋体" w:hAnsi="宋体"/>
                <w:bCs/>
                <w:sz w:val="18"/>
              </w:rPr>
              <w:t>6．对所在国缴纳税金总额</w:t>
            </w:r>
          </w:p>
          <w:p>
            <w:pPr>
              <w:spacing w:line="220" w:lineRule="exact"/>
              <w:ind w:firstLine="360"/>
              <w:rPr>
                <w:rFonts w:ascii="宋体" w:hAnsi="宋体"/>
                <w:bCs/>
                <w:sz w:val="18"/>
              </w:rPr>
            </w:pPr>
            <w:r>
              <w:rPr>
                <w:rFonts w:hint="eastAsia" w:ascii="宋体" w:hAnsi="宋体"/>
                <w:bCs/>
                <w:sz w:val="18"/>
              </w:rPr>
              <w:t>7．年末从业人员数(人)</w:t>
            </w:r>
          </w:p>
          <w:p>
            <w:pPr>
              <w:spacing w:line="220" w:lineRule="exact"/>
              <w:rPr>
                <w:rFonts w:ascii="宋体" w:hAnsi="宋体"/>
                <w:bCs/>
                <w:sz w:val="18"/>
              </w:rPr>
            </w:pPr>
            <w:r>
              <w:rPr>
                <w:rFonts w:hint="eastAsia" w:ascii="宋体" w:hAnsi="宋体"/>
                <w:bCs/>
                <w:sz w:val="18"/>
              </w:rPr>
              <w:t xml:space="preserve">  　    7-1．其中：中方人员数(人)</w:t>
            </w:r>
          </w:p>
          <w:p>
            <w:pPr>
              <w:spacing w:line="220" w:lineRule="exact"/>
              <w:ind w:left="271" w:leftChars="129" w:firstLine="90" w:firstLineChars="50"/>
              <w:rPr>
                <w:rFonts w:ascii="宋体" w:hAnsi="宋体"/>
                <w:bCs/>
                <w:sz w:val="18"/>
              </w:rPr>
            </w:pPr>
            <w:r>
              <w:rPr>
                <w:rFonts w:hint="eastAsia" w:ascii="宋体" w:hAnsi="宋体"/>
                <w:bCs/>
                <w:sz w:val="18"/>
              </w:rPr>
              <w:t>8． 境内投资者通过本企业实现的出口额</w:t>
            </w:r>
          </w:p>
          <w:p>
            <w:pPr>
              <w:spacing w:line="220" w:lineRule="exact"/>
              <w:ind w:left="271" w:leftChars="129" w:firstLine="90" w:firstLineChars="50"/>
              <w:rPr>
                <w:rFonts w:ascii="宋体" w:hAnsi="宋体"/>
                <w:bCs/>
                <w:sz w:val="18"/>
              </w:rPr>
            </w:pPr>
            <w:r>
              <w:rPr>
                <w:rFonts w:hint="eastAsia" w:ascii="宋体" w:hAnsi="宋体"/>
                <w:bCs/>
                <w:sz w:val="18"/>
              </w:rPr>
              <w:t>9． 境内投资者通过本企业实现的进口额</w:t>
            </w:r>
          </w:p>
          <w:p>
            <w:pPr>
              <w:spacing w:line="220" w:lineRule="exact"/>
              <w:rPr>
                <w:rFonts w:ascii="宋体" w:hAnsi="宋体"/>
                <w:bCs/>
                <w:sz w:val="18"/>
              </w:rPr>
            </w:pPr>
          </w:p>
          <w:p>
            <w:pPr>
              <w:spacing w:line="220" w:lineRule="exact"/>
              <w:rPr>
                <w:rFonts w:ascii="宋体" w:hAnsi="宋体"/>
                <w:bCs/>
                <w:sz w:val="18"/>
              </w:rPr>
            </w:pPr>
            <w:r>
              <w:rPr>
                <w:rFonts w:hint="eastAsia" w:ascii="宋体" w:hAnsi="宋体"/>
                <w:bCs/>
                <w:sz w:val="18"/>
              </w:rPr>
              <w:t>二、直接投资情况</w:t>
            </w:r>
          </w:p>
          <w:p>
            <w:pPr>
              <w:spacing w:line="220" w:lineRule="exact"/>
              <w:ind w:firstLine="360"/>
              <w:rPr>
                <w:rFonts w:ascii="宋体" w:hAnsi="宋体"/>
                <w:bCs/>
                <w:sz w:val="18"/>
              </w:rPr>
            </w:pPr>
            <w:r>
              <w:rPr>
                <w:rFonts w:hint="eastAsia" w:ascii="宋体" w:hAnsi="宋体"/>
                <w:bCs/>
                <w:sz w:val="18"/>
              </w:rPr>
              <w:t>1．当期来自境内投资者的直接投资流量</w:t>
            </w:r>
          </w:p>
          <w:p>
            <w:pPr>
              <w:spacing w:line="220" w:lineRule="exact"/>
              <w:rPr>
                <w:rFonts w:ascii="宋体" w:hAnsi="宋体"/>
                <w:bCs/>
                <w:sz w:val="18"/>
              </w:rPr>
            </w:pPr>
            <w:r>
              <w:rPr>
                <w:rFonts w:hint="eastAsia" w:ascii="宋体" w:hAnsi="宋体"/>
                <w:bCs/>
                <w:sz w:val="18"/>
              </w:rPr>
              <w:t xml:space="preserve">  　   1-1．当期来自境内投资者的直接投资额</w:t>
            </w:r>
          </w:p>
          <w:p>
            <w:pPr>
              <w:spacing w:line="220" w:lineRule="exact"/>
              <w:rPr>
                <w:rFonts w:ascii="宋体" w:hAnsi="宋体"/>
                <w:bCs/>
                <w:sz w:val="18"/>
              </w:rPr>
            </w:pPr>
            <w:r>
              <w:rPr>
                <w:rFonts w:hint="eastAsia" w:ascii="宋体" w:hAnsi="宋体"/>
                <w:bCs/>
                <w:sz w:val="18"/>
              </w:rPr>
              <w:t xml:space="preserve">    　   1-1-1．其中：新增股权</w:t>
            </w:r>
          </w:p>
          <w:p>
            <w:pPr>
              <w:spacing w:line="220" w:lineRule="exact"/>
              <w:rPr>
                <w:rFonts w:ascii="宋体" w:hAnsi="宋体"/>
                <w:bCs/>
                <w:sz w:val="18"/>
              </w:rPr>
            </w:pPr>
            <w:r>
              <w:rPr>
                <w:rFonts w:hint="eastAsia" w:ascii="宋体" w:hAnsi="宋体"/>
                <w:bCs/>
                <w:sz w:val="18"/>
              </w:rPr>
              <w:t xml:space="preserve">         1-1-2．      当期收益再投资</w:t>
            </w:r>
          </w:p>
          <w:p>
            <w:pPr>
              <w:spacing w:line="220" w:lineRule="exact"/>
              <w:rPr>
                <w:rFonts w:ascii="宋体" w:hAnsi="宋体"/>
                <w:bCs/>
                <w:sz w:val="18"/>
              </w:rPr>
            </w:pPr>
            <w:r>
              <w:rPr>
                <w:rFonts w:hint="eastAsia" w:ascii="宋体" w:hAnsi="宋体"/>
                <w:bCs/>
                <w:sz w:val="18"/>
              </w:rPr>
              <w:t xml:space="preserve">         1-1-3.       债务工具</w:t>
            </w:r>
          </w:p>
          <w:p>
            <w:pPr>
              <w:spacing w:line="220" w:lineRule="exact"/>
              <w:rPr>
                <w:rFonts w:ascii="宋体" w:hAnsi="宋体"/>
                <w:bCs/>
                <w:sz w:val="18"/>
              </w:rPr>
            </w:pPr>
            <w:r>
              <w:rPr>
                <w:rFonts w:hint="eastAsia" w:ascii="宋体" w:hAnsi="宋体"/>
                <w:bCs/>
                <w:sz w:val="18"/>
              </w:rPr>
              <w:t xml:space="preserve">  　   1-2．减：当期对境内投资者的反向投资额</w:t>
            </w:r>
          </w:p>
          <w:p>
            <w:pPr>
              <w:spacing w:line="220" w:lineRule="exact"/>
              <w:ind w:firstLine="360"/>
              <w:rPr>
                <w:rFonts w:ascii="宋体" w:hAnsi="宋体"/>
                <w:bCs/>
                <w:sz w:val="18"/>
              </w:rPr>
            </w:pPr>
            <w:r>
              <w:rPr>
                <w:rFonts w:hint="eastAsia" w:ascii="宋体" w:hAnsi="宋体"/>
                <w:bCs/>
                <w:sz w:val="18"/>
              </w:rPr>
              <w:t>2．年末来自境内投资者的累计直接投资存量</w:t>
            </w:r>
          </w:p>
          <w:p>
            <w:pPr>
              <w:spacing w:line="220" w:lineRule="exact"/>
              <w:ind w:firstLine="630"/>
              <w:rPr>
                <w:rFonts w:ascii="宋体" w:hAnsi="宋体"/>
                <w:bCs/>
                <w:sz w:val="18"/>
              </w:rPr>
            </w:pPr>
            <w:r>
              <w:rPr>
                <w:rFonts w:hint="eastAsia" w:ascii="宋体" w:hAnsi="宋体"/>
                <w:bCs/>
                <w:sz w:val="18"/>
              </w:rPr>
              <w:t>2-1．年末累计直接投资额</w:t>
            </w:r>
          </w:p>
          <w:p>
            <w:pPr>
              <w:spacing w:line="220" w:lineRule="exact"/>
              <w:rPr>
                <w:rFonts w:ascii="宋体" w:hAnsi="宋体"/>
                <w:bCs/>
                <w:sz w:val="18"/>
              </w:rPr>
            </w:pPr>
            <w:r>
              <w:rPr>
                <w:rFonts w:hint="eastAsia" w:ascii="宋体" w:hAnsi="宋体"/>
                <w:bCs/>
                <w:sz w:val="18"/>
              </w:rPr>
              <w:t xml:space="preserve">          2-1-1．其中：股权</w:t>
            </w:r>
          </w:p>
          <w:p>
            <w:pPr>
              <w:spacing w:line="220" w:lineRule="exact"/>
              <w:rPr>
                <w:rFonts w:ascii="宋体" w:hAnsi="宋体"/>
                <w:bCs/>
                <w:sz w:val="18"/>
              </w:rPr>
            </w:pPr>
            <w:r>
              <w:rPr>
                <w:rFonts w:hint="eastAsia" w:ascii="宋体" w:hAnsi="宋体"/>
                <w:bCs/>
                <w:sz w:val="18"/>
              </w:rPr>
              <w:t xml:space="preserve">          2-1-2        收益再投资</w:t>
            </w:r>
          </w:p>
          <w:p>
            <w:pPr>
              <w:spacing w:line="220" w:lineRule="exact"/>
              <w:rPr>
                <w:rFonts w:ascii="宋体" w:hAnsi="宋体"/>
                <w:bCs/>
                <w:sz w:val="18"/>
              </w:rPr>
            </w:pPr>
            <w:r>
              <w:rPr>
                <w:rFonts w:hint="eastAsia" w:ascii="宋体" w:hAnsi="宋体"/>
                <w:bCs/>
                <w:sz w:val="18"/>
              </w:rPr>
              <w:t xml:space="preserve">          2-1-3        债务工具</w:t>
            </w:r>
          </w:p>
          <w:p>
            <w:pPr>
              <w:spacing w:line="220" w:lineRule="exact"/>
              <w:rPr>
                <w:rFonts w:ascii="宋体" w:hAnsi="宋体"/>
                <w:bCs/>
                <w:sz w:val="18"/>
              </w:rPr>
            </w:pPr>
            <w:r>
              <w:rPr>
                <w:rFonts w:hint="eastAsia" w:ascii="宋体" w:hAnsi="宋体"/>
                <w:bCs/>
                <w:sz w:val="18"/>
              </w:rPr>
              <w:t xml:space="preserve">       2-2．减：年末对境内投资者的累计反向投资额</w:t>
            </w:r>
          </w:p>
        </w:tc>
        <w:tc>
          <w:tcPr>
            <w:tcW w:w="1007" w:type="dxa"/>
            <w:tcBorders>
              <w:tl2br w:val="nil"/>
              <w:tr2bl w:val="nil"/>
            </w:tcBorders>
            <w:vAlign w:val="center"/>
          </w:tcPr>
          <w:p>
            <w:pPr>
              <w:spacing w:line="220" w:lineRule="exact"/>
              <w:jc w:val="center"/>
              <w:rPr>
                <w:rFonts w:ascii="宋体" w:hAnsi="宋体"/>
                <w:bCs/>
                <w:sz w:val="18"/>
              </w:rPr>
            </w:pPr>
            <w:r>
              <w:rPr>
                <w:rFonts w:hint="eastAsia" w:ascii="宋体" w:hAnsi="宋体"/>
                <w:bCs/>
                <w:sz w:val="18"/>
              </w:rPr>
              <w:t>--</w:t>
            </w:r>
          </w:p>
          <w:p>
            <w:pPr>
              <w:spacing w:line="220" w:lineRule="exact"/>
              <w:jc w:val="center"/>
              <w:rPr>
                <w:rFonts w:ascii="宋体" w:hAnsi="宋体"/>
                <w:bCs/>
                <w:sz w:val="18"/>
              </w:rPr>
            </w:pPr>
            <w:r>
              <w:rPr>
                <w:rFonts w:hint="eastAsia" w:ascii="宋体" w:hAnsi="宋体"/>
                <w:bCs/>
                <w:sz w:val="18"/>
              </w:rPr>
              <w:t>1</w:t>
            </w:r>
          </w:p>
          <w:p>
            <w:pPr>
              <w:spacing w:line="220" w:lineRule="exact"/>
              <w:jc w:val="center"/>
              <w:rPr>
                <w:rFonts w:ascii="宋体" w:hAnsi="宋体"/>
                <w:bCs/>
                <w:sz w:val="18"/>
              </w:rPr>
            </w:pPr>
            <w:r>
              <w:rPr>
                <w:rFonts w:hint="eastAsia" w:ascii="宋体" w:hAnsi="宋体"/>
                <w:bCs/>
                <w:sz w:val="18"/>
              </w:rPr>
              <w:t>2</w:t>
            </w:r>
          </w:p>
          <w:p>
            <w:pPr>
              <w:spacing w:line="220" w:lineRule="exact"/>
              <w:jc w:val="center"/>
              <w:rPr>
                <w:rFonts w:ascii="宋体" w:hAnsi="宋体"/>
                <w:bCs/>
                <w:sz w:val="18"/>
              </w:rPr>
            </w:pPr>
            <w:r>
              <w:rPr>
                <w:rFonts w:hint="eastAsia" w:ascii="宋体" w:hAnsi="宋体"/>
                <w:bCs/>
                <w:sz w:val="18"/>
              </w:rPr>
              <w:t>3</w:t>
            </w:r>
          </w:p>
          <w:p>
            <w:pPr>
              <w:spacing w:line="220" w:lineRule="exact"/>
              <w:jc w:val="center"/>
              <w:rPr>
                <w:rFonts w:ascii="宋体" w:hAnsi="宋体"/>
                <w:bCs/>
                <w:sz w:val="18"/>
              </w:rPr>
            </w:pPr>
            <w:r>
              <w:rPr>
                <w:rFonts w:hint="eastAsia" w:ascii="宋体" w:hAnsi="宋体"/>
                <w:bCs/>
                <w:sz w:val="18"/>
              </w:rPr>
              <w:t>4</w:t>
            </w:r>
          </w:p>
          <w:p>
            <w:pPr>
              <w:spacing w:line="220" w:lineRule="exact"/>
              <w:jc w:val="center"/>
              <w:rPr>
                <w:rFonts w:ascii="宋体" w:hAnsi="宋体"/>
                <w:bCs/>
                <w:sz w:val="18"/>
              </w:rPr>
            </w:pPr>
            <w:r>
              <w:rPr>
                <w:rFonts w:hint="eastAsia" w:ascii="宋体" w:hAnsi="宋体"/>
                <w:bCs/>
                <w:sz w:val="18"/>
              </w:rPr>
              <w:t>5</w:t>
            </w:r>
          </w:p>
          <w:p>
            <w:pPr>
              <w:spacing w:line="220" w:lineRule="exact"/>
              <w:jc w:val="center"/>
              <w:rPr>
                <w:rFonts w:ascii="宋体" w:hAnsi="宋体"/>
                <w:bCs/>
                <w:sz w:val="18"/>
              </w:rPr>
            </w:pPr>
            <w:r>
              <w:rPr>
                <w:rFonts w:hint="eastAsia" w:ascii="宋体" w:hAnsi="宋体"/>
                <w:bCs/>
                <w:sz w:val="18"/>
              </w:rPr>
              <w:t>6</w:t>
            </w:r>
          </w:p>
          <w:p>
            <w:pPr>
              <w:spacing w:line="220" w:lineRule="exact"/>
              <w:jc w:val="center"/>
              <w:rPr>
                <w:rFonts w:ascii="宋体" w:hAnsi="宋体"/>
                <w:bCs/>
                <w:sz w:val="18"/>
              </w:rPr>
            </w:pPr>
            <w:r>
              <w:rPr>
                <w:rFonts w:hint="eastAsia" w:ascii="宋体" w:hAnsi="宋体"/>
                <w:bCs/>
                <w:sz w:val="18"/>
              </w:rPr>
              <w:t>7</w:t>
            </w:r>
          </w:p>
          <w:p>
            <w:pPr>
              <w:spacing w:line="220" w:lineRule="exact"/>
              <w:jc w:val="center"/>
              <w:rPr>
                <w:rFonts w:ascii="宋体" w:hAnsi="宋体"/>
                <w:bCs/>
                <w:sz w:val="18"/>
              </w:rPr>
            </w:pPr>
            <w:r>
              <w:rPr>
                <w:rFonts w:hint="eastAsia" w:ascii="宋体" w:hAnsi="宋体"/>
                <w:bCs/>
                <w:sz w:val="18"/>
              </w:rPr>
              <w:t>8</w:t>
            </w:r>
          </w:p>
          <w:p>
            <w:pPr>
              <w:spacing w:line="220" w:lineRule="exact"/>
              <w:jc w:val="center"/>
              <w:rPr>
                <w:rFonts w:ascii="宋体" w:hAnsi="宋体"/>
                <w:bCs/>
                <w:sz w:val="18"/>
              </w:rPr>
            </w:pPr>
            <w:r>
              <w:rPr>
                <w:rFonts w:hint="eastAsia" w:ascii="宋体" w:hAnsi="宋体"/>
                <w:bCs/>
                <w:sz w:val="18"/>
              </w:rPr>
              <w:t>9</w:t>
            </w:r>
          </w:p>
          <w:p>
            <w:pPr>
              <w:spacing w:line="220" w:lineRule="exact"/>
              <w:jc w:val="center"/>
              <w:rPr>
                <w:rFonts w:ascii="宋体" w:hAnsi="宋体"/>
                <w:bCs/>
                <w:sz w:val="18"/>
              </w:rPr>
            </w:pPr>
            <w:r>
              <w:rPr>
                <w:rFonts w:hint="eastAsia" w:ascii="宋体" w:hAnsi="宋体"/>
                <w:bCs/>
                <w:sz w:val="18"/>
              </w:rPr>
              <w:t>10</w:t>
            </w:r>
          </w:p>
          <w:p>
            <w:pPr>
              <w:spacing w:line="220" w:lineRule="exact"/>
              <w:jc w:val="center"/>
              <w:rPr>
                <w:rFonts w:ascii="宋体" w:hAnsi="宋体"/>
                <w:bCs/>
                <w:sz w:val="18"/>
              </w:rPr>
            </w:pPr>
            <w:r>
              <w:rPr>
                <w:rFonts w:hint="eastAsia" w:ascii="宋体" w:hAnsi="宋体"/>
                <w:bCs/>
                <w:sz w:val="18"/>
              </w:rPr>
              <w:t>11</w:t>
            </w:r>
          </w:p>
          <w:p>
            <w:pPr>
              <w:spacing w:line="220" w:lineRule="exact"/>
              <w:jc w:val="center"/>
              <w:rPr>
                <w:rFonts w:ascii="宋体" w:hAnsi="宋体"/>
                <w:bCs/>
                <w:sz w:val="18"/>
              </w:rPr>
            </w:pPr>
            <w:r>
              <w:rPr>
                <w:rFonts w:hint="eastAsia" w:ascii="宋体" w:hAnsi="宋体"/>
                <w:bCs/>
                <w:sz w:val="18"/>
              </w:rPr>
              <w:t>12</w:t>
            </w:r>
          </w:p>
          <w:p>
            <w:pPr>
              <w:spacing w:line="220" w:lineRule="exact"/>
              <w:jc w:val="center"/>
              <w:rPr>
                <w:rFonts w:ascii="宋体" w:hAnsi="宋体"/>
                <w:bCs/>
                <w:sz w:val="18"/>
              </w:rPr>
            </w:pPr>
            <w:r>
              <w:rPr>
                <w:rFonts w:hint="eastAsia" w:ascii="宋体" w:hAnsi="宋体"/>
                <w:bCs/>
                <w:sz w:val="18"/>
              </w:rPr>
              <w:t>13</w:t>
            </w:r>
          </w:p>
          <w:p>
            <w:pPr>
              <w:spacing w:line="220" w:lineRule="exact"/>
              <w:jc w:val="center"/>
              <w:rPr>
                <w:rFonts w:ascii="宋体" w:hAnsi="宋体"/>
                <w:bCs/>
                <w:sz w:val="18"/>
              </w:rPr>
            </w:pPr>
            <w:r>
              <w:rPr>
                <w:rFonts w:hint="eastAsia" w:ascii="宋体" w:hAnsi="宋体"/>
                <w:bCs/>
                <w:sz w:val="18"/>
              </w:rPr>
              <w:t>14</w:t>
            </w:r>
          </w:p>
          <w:p>
            <w:pPr>
              <w:spacing w:line="220" w:lineRule="exact"/>
              <w:jc w:val="center"/>
              <w:rPr>
                <w:rFonts w:ascii="宋体" w:hAnsi="宋体"/>
                <w:bCs/>
                <w:sz w:val="18"/>
              </w:rPr>
            </w:pPr>
          </w:p>
          <w:p>
            <w:pPr>
              <w:spacing w:line="220" w:lineRule="exact"/>
              <w:jc w:val="center"/>
              <w:rPr>
                <w:rFonts w:ascii="宋体" w:hAnsi="宋体"/>
                <w:bCs/>
                <w:sz w:val="18"/>
              </w:rPr>
            </w:pPr>
            <w:r>
              <w:rPr>
                <w:rFonts w:hint="eastAsia" w:ascii="宋体" w:hAnsi="宋体"/>
                <w:bCs/>
                <w:sz w:val="18"/>
              </w:rPr>
              <w:t>__</w:t>
            </w:r>
          </w:p>
          <w:p>
            <w:pPr>
              <w:spacing w:line="220" w:lineRule="exact"/>
              <w:jc w:val="center"/>
              <w:rPr>
                <w:rFonts w:ascii="宋体" w:hAnsi="宋体"/>
                <w:bCs/>
                <w:sz w:val="18"/>
              </w:rPr>
            </w:pPr>
            <w:r>
              <w:rPr>
                <w:rFonts w:hint="eastAsia" w:ascii="宋体" w:hAnsi="宋体"/>
                <w:bCs/>
                <w:sz w:val="18"/>
              </w:rPr>
              <w:t>15</w:t>
            </w:r>
          </w:p>
          <w:p>
            <w:pPr>
              <w:spacing w:line="220" w:lineRule="exact"/>
              <w:jc w:val="center"/>
              <w:rPr>
                <w:rFonts w:ascii="宋体" w:hAnsi="宋体"/>
                <w:bCs/>
                <w:sz w:val="18"/>
              </w:rPr>
            </w:pPr>
            <w:r>
              <w:rPr>
                <w:rFonts w:hint="eastAsia" w:ascii="宋体" w:hAnsi="宋体"/>
                <w:bCs/>
                <w:sz w:val="18"/>
              </w:rPr>
              <w:t>16</w:t>
            </w:r>
          </w:p>
          <w:p>
            <w:pPr>
              <w:spacing w:line="220" w:lineRule="exact"/>
              <w:jc w:val="center"/>
              <w:rPr>
                <w:rFonts w:ascii="宋体" w:hAnsi="宋体"/>
                <w:bCs/>
                <w:sz w:val="18"/>
              </w:rPr>
            </w:pPr>
            <w:r>
              <w:rPr>
                <w:rFonts w:hint="eastAsia" w:ascii="宋体" w:hAnsi="宋体"/>
                <w:bCs/>
                <w:sz w:val="18"/>
              </w:rPr>
              <w:t>17</w:t>
            </w:r>
          </w:p>
          <w:p>
            <w:pPr>
              <w:spacing w:line="220" w:lineRule="exact"/>
              <w:jc w:val="center"/>
              <w:rPr>
                <w:rFonts w:ascii="宋体" w:hAnsi="宋体"/>
                <w:bCs/>
                <w:sz w:val="18"/>
              </w:rPr>
            </w:pPr>
            <w:r>
              <w:rPr>
                <w:rFonts w:hint="eastAsia" w:ascii="宋体" w:hAnsi="宋体"/>
                <w:bCs/>
                <w:sz w:val="18"/>
              </w:rPr>
              <w:t>18</w:t>
            </w:r>
          </w:p>
          <w:p>
            <w:pPr>
              <w:spacing w:line="220" w:lineRule="exact"/>
              <w:jc w:val="center"/>
              <w:rPr>
                <w:rFonts w:ascii="宋体" w:hAnsi="宋体"/>
                <w:bCs/>
                <w:sz w:val="18"/>
              </w:rPr>
            </w:pPr>
            <w:r>
              <w:rPr>
                <w:rFonts w:hint="eastAsia" w:ascii="宋体" w:hAnsi="宋体"/>
                <w:bCs/>
                <w:sz w:val="18"/>
              </w:rPr>
              <w:t>19</w:t>
            </w:r>
          </w:p>
          <w:p>
            <w:pPr>
              <w:spacing w:line="220" w:lineRule="exact"/>
              <w:jc w:val="center"/>
              <w:rPr>
                <w:rFonts w:ascii="宋体" w:hAnsi="宋体"/>
                <w:bCs/>
                <w:sz w:val="18"/>
              </w:rPr>
            </w:pPr>
            <w:r>
              <w:rPr>
                <w:rFonts w:hint="eastAsia" w:ascii="宋体" w:hAnsi="宋体"/>
                <w:bCs/>
                <w:sz w:val="18"/>
              </w:rPr>
              <w:t>20</w:t>
            </w:r>
          </w:p>
          <w:p>
            <w:pPr>
              <w:spacing w:line="220" w:lineRule="exact"/>
              <w:jc w:val="center"/>
              <w:rPr>
                <w:rFonts w:ascii="宋体" w:hAnsi="宋体"/>
                <w:bCs/>
                <w:sz w:val="18"/>
              </w:rPr>
            </w:pPr>
            <w:r>
              <w:rPr>
                <w:rFonts w:hint="eastAsia" w:ascii="宋体" w:hAnsi="宋体"/>
                <w:bCs/>
                <w:sz w:val="18"/>
              </w:rPr>
              <w:t>21</w:t>
            </w:r>
          </w:p>
          <w:p>
            <w:pPr>
              <w:spacing w:line="220" w:lineRule="exact"/>
              <w:jc w:val="center"/>
              <w:rPr>
                <w:rFonts w:ascii="宋体" w:hAnsi="宋体"/>
                <w:bCs/>
                <w:sz w:val="18"/>
              </w:rPr>
            </w:pPr>
            <w:r>
              <w:rPr>
                <w:rFonts w:hint="eastAsia" w:ascii="宋体" w:hAnsi="宋体"/>
                <w:bCs/>
                <w:sz w:val="18"/>
              </w:rPr>
              <w:t>22</w:t>
            </w:r>
          </w:p>
          <w:p>
            <w:pPr>
              <w:spacing w:line="220" w:lineRule="exact"/>
              <w:jc w:val="center"/>
              <w:rPr>
                <w:rFonts w:ascii="宋体" w:hAnsi="宋体"/>
                <w:bCs/>
                <w:sz w:val="18"/>
              </w:rPr>
            </w:pPr>
            <w:r>
              <w:rPr>
                <w:rFonts w:hint="eastAsia" w:ascii="宋体" w:hAnsi="宋体"/>
                <w:bCs/>
                <w:sz w:val="18"/>
              </w:rPr>
              <w:t>23</w:t>
            </w:r>
          </w:p>
          <w:p>
            <w:pPr>
              <w:spacing w:line="220" w:lineRule="exact"/>
              <w:jc w:val="center"/>
              <w:rPr>
                <w:rFonts w:ascii="宋体" w:hAnsi="宋体"/>
                <w:bCs/>
                <w:sz w:val="18"/>
              </w:rPr>
            </w:pPr>
            <w:r>
              <w:rPr>
                <w:rFonts w:hint="eastAsia" w:ascii="宋体" w:hAnsi="宋体"/>
                <w:bCs/>
                <w:sz w:val="18"/>
              </w:rPr>
              <w:t>24</w:t>
            </w:r>
          </w:p>
          <w:p>
            <w:pPr>
              <w:spacing w:line="220" w:lineRule="exact"/>
              <w:jc w:val="center"/>
              <w:rPr>
                <w:rFonts w:ascii="宋体" w:hAnsi="宋体"/>
                <w:bCs/>
                <w:sz w:val="18"/>
              </w:rPr>
            </w:pPr>
            <w:r>
              <w:rPr>
                <w:rFonts w:hint="eastAsia" w:ascii="宋体" w:hAnsi="宋体"/>
                <w:bCs/>
                <w:sz w:val="18"/>
              </w:rPr>
              <w:t>25</w:t>
            </w:r>
          </w:p>
          <w:p>
            <w:pPr>
              <w:spacing w:line="220" w:lineRule="exact"/>
              <w:jc w:val="center"/>
              <w:rPr>
                <w:rFonts w:ascii="宋体" w:hAnsi="宋体"/>
                <w:bCs/>
                <w:sz w:val="18"/>
              </w:rPr>
            </w:pPr>
            <w:r>
              <w:rPr>
                <w:rFonts w:hint="eastAsia" w:ascii="宋体" w:hAnsi="宋体"/>
                <w:bCs/>
                <w:sz w:val="18"/>
              </w:rPr>
              <w:t>26</w:t>
            </w:r>
          </w:p>
        </w:tc>
        <w:tc>
          <w:tcPr>
            <w:tcW w:w="2313" w:type="dxa"/>
            <w:tcBorders>
              <w:tl2br w:val="nil"/>
              <w:tr2bl w:val="nil"/>
            </w:tcBorders>
          </w:tcPr>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tc>
      </w:tr>
    </w:tbl>
    <w:p>
      <w:pPr>
        <w:spacing w:line="220" w:lineRule="exact"/>
        <w:rPr>
          <w:rFonts w:ascii="宋体" w:hAnsi="宋体"/>
          <w:bCs/>
          <w:sz w:val="18"/>
        </w:rPr>
      </w:pPr>
      <w:r>
        <w:rPr>
          <w:rFonts w:hint="eastAsia" w:ascii="宋体" w:hAnsi="宋体"/>
          <w:bCs/>
          <w:sz w:val="18"/>
        </w:rPr>
        <w:t>填报人：　　　　负责人：　　　　　　　联系电话：　　　　　　报出日期：2 0     　年　月　日</w:t>
      </w:r>
    </w:p>
    <w:p>
      <w:pPr>
        <w:pStyle w:val="2"/>
        <w:ind w:firstLine="0"/>
        <w:rPr>
          <w:rFonts w:ascii="宋体"/>
          <w:b/>
          <w:bCs/>
          <w:sz w:val="18"/>
        </w:rPr>
      </w:pPr>
    </w:p>
    <w:p>
      <w:pPr>
        <w:pStyle w:val="2"/>
        <w:ind w:firstLine="0"/>
        <w:rPr>
          <w:rFonts w:ascii="宋体"/>
          <w:b/>
          <w:bCs/>
          <w:sz w:val="18"/>
        </w:rPr>
      </w:pPr>
      <w:r>
        <w:rPr>
          <w:rFonts w:hint="eastAsia" w:ascii="宋体"/>
          <w:b/>
          <w:bCs/>
          <w:sz w:val="18"/>
        </w:rPr>
        <w:t>填表说明：</w:t>
      </w:r>
    </w:p>
    <w:p>
      <w:pPr>
        <w:pStyle w:val="2"/>
        <w:tabs>
          <w:tab w:val="clear" w:pos="756"/>
        </w:tabs>
        <w:ind w:firstLine="0"/>
        <w:rPr>
          <w:sz w:val="18"/>
          <w:szCs w:val="18"/>
        </w:rPr>
      </w:pPr>
      <w:r>
        <w:rPr>
          <w:rFonts w:hint="eastAsia"/>
        </w:rPr>
        <w:t xml:space="preserve">     </w:t>
      </w:r>
      <w:r>
        <w:rPr>
          <w:rFonts w:hint="eastAsia"/>
          <w:sz w:val="18"/>
          <w:szCs w:val="18"/>
        </w:rPr>
        <w:t>1.本表综合反映报告年度境外企业的基本情况和经营活动情况，境内投资者对其拥有的各境外直接投资企业投资情况、收入情况、货物进出口情况。由境内投资者负责发放给境外企业填报。其中境外企业基本情况反映报告年度非金融业境内投资者所拥有的控股在50%以上境外企业（包括金融业）的基本情况，中方控股50%以下的境外企业不需填报此项内容。</w:t>
      </w:r>
    </w:p>
    <w:p>
      <w:pPr>
        <w:ind w:firstLine="540"/>
        <w:rPr>
          <w:rFonts w:ascii="宋体" w:hAnsi="宋体"/>
          <w:bCs/>
          <w:sz w:val="18"/>
        </w:rPr>
      </w:pPr>
      <w:r>
        <w:rPr>
          <w:rFonts w:hint="eastAsia" w:ascii="宋体" w:hAnsi="宋体"/>
          <w:bCs/>
          <w:sz w:val="18"/>
        </w:rPr>
        <w:t>2.所在国家(地区)及城市：指境外企业注册登记所在的国家和城市。</w:t>
      </w:r>
    </w:p>
    <w:p>
      <w:pPr>
        <w:ind w:firstLine="540"/>
        <w:rPr>
          <w:rFonts w:ascii="宋体" w:hAnsi="宋体"/>
          <w:bCs/>
          <w:sz w:val="18"/>
        </w:rPr>
      </w:pPr>
      <w:r>
        <w:rPr>
          <w:rFonts w:hint="eastAsia" w:ascii="宋体" w:hAnsi="宋体"/>
          <w:bCs/>
          <w:sz w:val="18"/>
        </w:rPr>
        <w:t>3.设立日期：境内投资者实际设立境外企业的日期。</w:t>
      </w:r>
    </w:p>
    <w:p>
      <w:pPr>
        <w:ind w:firstLine="540"/>
        <w:rPr>
          <w:rFonts w:ascii="宋体" w:hAnsi="宋体"/>
          <w:bCs/>
          <w:sz w:val="18"/>
        </w:rPr>
      </w:pPr>
      <w:r>
        <w:rPr>
          <w:rFonts w:hint="eastAsia" w:ascii="宋体" w:hAnsi="宋体"/>
          <w:bCs/>
          <w:sz w:val="18"/>
        </w:rPr>
        <w:t>4.中方持股比例：指境外企业章程中所注明的中方所持有的股份（百分数）。</w:t>
      </w:r>
    </w:p>
    <w:p>
      <w:pPr>
        <w:ind w:firstLine="540"/>
        <w:rPr>
          <w:rFonts w:ascii="宋体" w:hAnsi="宋体"/>
          <w:bCs/>
          <w:sz w:val="18"/>
        </w:rPr>
      </w:pPr>
      <w:r>
        <w:rPr>
          <w:rFonts w:hint="eastAsia" w:ascii="宋体" w:hAnsi="宋体"/>
          <w:bCs/>
          <w:sz w:val="18"/>
        </w:rPr>
        <w:t>5.年末从业人员数：指报告年度末，在本单位从事一定的劳动并取得劳动报酬或其他形式劳动报酬的全部人员数。</w:t>
      </w:r>
    </w:p>
    <w:p>
      <w:pPr>
        <w:ind w:firstLine="540"/>
        <w:rPr>
          <w:rFonts w:ascii="宋体" w:hAnsi="宋体"/>
          <w:bCs/>
          <w:sz w:val="18"/>
        </w:rPr>
      </w:pPr>
      <w:r>
        <w:rPr>
          <w:rFonts w:hint="eastAsia" w:ascii="宋体" w:hAnsi="宋体"/>
          <w:bCs/>
          <w:sz w:val="18"/>
        </w:rPr>
        <w:t>6.资产总计、负债合计、所有者权益合计：分别根据境外企业年度合并会计报表“资产负债表”中“资产总计”、“负债合计”、“所有者权益合计”、“未分配利润”填报；实收资本是指中方所拥有的部分。</w:t>
      </w:r>
    </w:p>
    <w:p>
      <w:pPr>
        <w:ind w:firstLine="540" w:firstLineChars="300"/>
        <w:jc w:val="left"/>
        <w:rPr>
          <w:rFonts w:ascii="宋体" w:hAnsi="宋体"/>
          <w:bCs/>
          <w:sz w:val="18"/>
        </w:rPr>
      </w:pPr>
      <w:r>
        <w:rPr>
          <w:rFonts w:hint="eastAsia" w:ascii="宋体" w:hAnsi="宋体"/>
          <w:bCs/>
          <w:sz w:val="18"/>
        </w:rPr>
        <w:t>7.</w:t>
      </w:r>
      <w:r>
        <w:rPr>
          <w:rFonts w:hint="eastAsia" w:hAnsi="宋体"/>
          <w:bCs/>
          <w:sz w:val="18"/>
        </w:rPr>
        <w:t>销售（</w:t>
      </w:r>
      <w:r>
        <w:rPr>
          <w:rFonts w:hint="eastAsia" w:ascii="宋体" w:hAnsi="宋体"/>
          <w:bCs/>
          <w:sz w:val="18"/>
        </w:rPr>
        <w:t>营业）收入总额、当年利润总额、净利润：分别根据填报单位企业年终会计报表“损益表”中“销售（营业）收入总额”、“利润总额”项目的数值填列。净利润</w:t>
      </w:r>
      <w:r>
        <w:rPr>
          <w:rStyle w:val="18"/>
          <w:rFonts w:ascii="宋体" w:hAnsi="宋体" w:cs="Arial"/>
          <w:color w:val="000000"/>
          <w:sz w:val="18"/>
          <w:szCs w:val="18"/>
        </w:rPr>
        <w:t>是指在</w:t>
      </w:r>
      <w:r>
        <w:rPr>
          <w:rStyle w:val="9"/>
          <w:rFonts w:ascii="宋体" w:hAnsi="宋体" w:cs="Arial"/>
          <w:color w:val="000000"/>
          <w:sz w:val="18"/>
          <w:szCs w:val="18"/>
        </w:rPr>
        <w:t>利润</w:t>
      </w:r>
      <w:r>
        <w:rPr>
          <w:rStyle w:val="18"/>
          <w:rFonts w:ascii="宋体" w:hAnsi="宋体" w:cs="Arial"/>
          <w:color w:val="000000"/>
          <w:sz w:val="18"/>
          <w:szCs w:val="18"/>
        </w:rPr>
        <w:t>总额中按规定交纳了所得税后公司的利润留成,一般也称为税后利润或</w:t>
      </w:r>
      <w:r>
        <w:rPr>
          <w:rStyle w:val="9"/>
          <w:rFonts w:ascii="宋体" w:hAnsi="宋体" w:cs="Arial"/>
          <w:color w:val="000000"/>
          <w:sz w:val="18"/>
          <w:szCs w:val="18"/>
        </w:rPr>
        <w:t>净收入</w:t>
      </w:r>
      <w:r>
        <w:rPr>
          <w:rStyle w:val="18"/>
          <w:rFonts w:ascii="Arial" w:hAnsi="Arial" w:cs="Arial"/>
          <w:color w:val="333333"/>
          <w:sz w:val="18"/>
          <w:szCs w:val="18"/>
        </w:rPr>
        <w:t>。</w:t>
      </w:r>
    </w:p>
    <w:p>
      <w:pPr>
        <w:ind w:firstLine="568" w:firstLineChars="316"/>
        <w:rPr>
          <w:rFonts w:ascii="宋体" w:hAnsi="宋体"/>
          <w:sz w:val="18"/>
          <w:szCs w:val="18"/>
        </w:rPr>
      </w:pPr>
      <w:r>
        <w:rPr>
          <w:rFonts w:hint="eastAsia" w:ascii="宋体" w:hAnsi="宋体"/>
          <w:sz w:val="18"/>
          <w:szCs w:val="18"/>
        </w:rPr>
        <w:t>8.债务工具</w:t>
      </w:r>
      <w:r>
        <w:rPr>
          <w:rFonts w:hint="eastAsia" w:ascii="宋体" w:hAnsi="宋体"/>
          <w:b/>
          <w:sz w:val="18"/>
          <w:szCs w:val="18"/>
        </w:rPr>
        <w:t>：</w:t>
      </w:r>
      <w:r>
        <w:rPr>
          <w:rFonts w:hint="eastAsia" w:ascii="宋体" w:hAnsi="宋体"/>
          <w:bCs/>
          <w:sz w:val="18"/>
          <w:szCs w:val="18"/>
        </w:rPr>
        <w:t>指境外子公司、分支机构以及联营公司（以下简称境外企业）对境内投资者负债，包括境内投资者给境外企业提供的股东贷款，对境外企业应收款项、债务证券等。</w:t>
      </w:r>
      <w:r>
        <w:rPr>
          <w:rFonts w:hint="eastAsia" w:ascii="宋体" w:hAnsi="宋体"/>
          <w:sz w:val="18"/>
          <w:szCs w:val="18"/>
        </w:rPr>
        <w:t>境内投资者当期提供给境外子公司、联营公司、分支机构的</w:t>
      </w:r>
      <w:r>
        <w:rPr>
          <w:rFonts w:hint="eastAsia" w:ascii="宋体" w:hAnsi="宋体"/>
          <w:bCs/>
          <w:sz w:val="18"/>
          <w:szCs w:val="18"/>
        </w:rPr>
        <w:t>债务交易</w:t>
      </w:r>
      <w:r>
        <w:rPr>
          <w:rFonts w:hint="eastAsia" w:ascii="宋体" w:hAnsi="宋体"/>
          <w:sz w:val="18"/>
          <w:szCs w:val="18"/>
        </w:rPr>
        <w:t>记作当期对外直接投资流量和存量的增加；境外子公司、联营公司归还当期或以前年度境内投资者债务记作当期对外直接投资的负流量，同时应调减当期存量。</w:t>
      </w:r>
    </w:p>
    <w:p>
      <w:pPr>
        <w:ind w:firstLine="568" w:firstLineChars="316"/>
        <w:rPr>
          <w:rFonts w:ascii="宋体" w:hAnsi="宋体"/>
          <w:bCs/>
          <w:sz w:val="18"/>
          <w:szCs w:val="18"/>
        </w:rPr>
      </w:pPr>
      <w:r>
        <w:rPr>
          <w:rFonts w:hint="eastAsia" w:ascii="宋体" w:hAnsi="宋体"/>
          <w:sz w:val="18"/>
          <w:szCs w:val="18"/>
        </w:rPr>
        <w:t>9.反向投资额：</w:t>
      </w:r>
      <w:r>
        <w:rPr>
          <w:rFonts w:hint="eastAsia" w:ascii="宋体" w:hAnsi="宋体"/>
          <w:bCs/>
          <w:sz w:val="18"/>
          <w:szCs w:val="18"/>
        </w:rPr>
        <w:t>指境外企业对境内投资者持股比例低于10%的投资。如果境外企业不存在对境内投资者的反向投资则本表中的所有减项为“0”。</w:t>
      </w:r>
    </w:p>
    <w:p>
      <w:pPr>
        <w:ind w:firstLine="568" w:firstLineChars="316"/>
        <w:rPr>
          <w:sz w:val="18"/>
          <w:szCs w:val="18"/>
        </w:rPr>
      </w:pPr>
      <w:r>
        <w:rPr>
          <w:rFonts w:hint="eastAsia" w:ascii="宋体" w:hAnsi="宋体"/>
          <w:bCs/>
          <w:sz w:val="18"/>
          <w:szCs w:val="18"/>
        </w:rPr>
        <w:t>10.</w:t>
      </w:r>
      <w:r>
        <w:rPr>
          <w:rFonts w:hint="eastAsia" w:ascii="宋体" w:hAnsi="宋体"/>
          <w:sz w:val="18"/>
          <w:szCs w:val="18"/>
        </w:rPr>
        <w:t>收益再投资：</w:t>
      </w:r>
      <w:r>
        <w:rPr>
          <w:rFonts w:hint="eastAsia" w:ascii="宋体" w:hAnsi="宋体"/>
          <w:bCs/>
          <w:sz w:val="18"/>
          <w:szCs w:val="18"/>
        </w:rPr>
        <w:t>指境外子公司或联营公司未作为红利分配但应归属于境内投资者的利润部分，以及境外分支机构的利润部分。</w:t>
      </w:r>
      <w:r>
        <w:rPr>
          <w:rFonts w:hint="eastAsia" w:ascii="宋体" w:hAnsi="宋体"/>
          <w:sz w:val="18"/>
          <w:szCs w:val="18"/>
        </w:rPr>
        <w:t>当期收益再投资：</w:t>
      </w:r>
      <w:r>
        <w:rPr>
          <w:rFonts w:hint="eastAsia" w:ascii="宋体" w:hAnsi="宋体"/>
          <w:bCs/>
          <w:sz w:val="18"/>
          <w:szCs w:val="18"/>
        </w:rPr>
        <w:t>等于报告年度境外企业资产负债表中按中方股权比例计算的未分配利润期末数与期初数的差额，当期利润再投资为负数记入当期负流量。</w:t>
      </w:r>
      <w:r>
        <w:rPr>
          <w:rFonts w:hint="eastAsia"/>
          <w:sz w:val="18"/>
          <w:szCs w:val="18"/>
        </w:rPr>
        <w:t>收益再投资：等于报告年度境外企业资产负债表中按中方股权比例计算的未分配利润期末数，未分配利润期末数为负数不计入对外直接投资存量。</w:t>
      </w:r>
    </w:p>
    <w:p>
      <w:pPr>
        <w:pStyle w:val="16"/>
        <w:rPr>
          <w:rFonts w:ascii="宋体" w:hAnsi="宋体" w:eastAsia="宋体"/>
          <w:sz w:val="18"/>
        </w:rPr>
      </w:pPr>
      <w:r>
        <w:rPr>
          <w:rFonts w:hint="eastAsia" w:ascii="宋体" w:hAnsi="宋体" w:eastAsia="宋体"/>
          <w:sz w:val="18"/>
        </w:rPr>
        <w:t>基本计算关系：</w:t>
      </w:r>
    </w:p>
    <w:p>
      <w:pPr>
        <w:pStyle w:val="16"/>
        <w:ind w:firstLine="360" w:firstLineChars="200"/>
        <w:rPr>
          <w:rFonts w:ascii="宋体" w:hAnsi="宋体" w:eastAsia="宋体"/>
          <w:b w:val="0"/>
          <w:sz w:val="18"/>
        </w:rPr>
      </w:pPr>
      <w:r>
        <w:rPr>
          <w:rFonts w:hint="eastAsia" w:ascii="宋体" w:hAnsi="宋体" w:eastAsia="宋体"/>
          <w:b w:val="0"/>
          <w:sz w:val="18"/>
        </w:rPr>
        <w:t>1.当期来自境内投资者的直接投资流量= 当期来自境内投资者的直接投资额-当期对境内投资者的反向投资额</w:t>
      </w:r>
    </w:p>
    <w:p>
      <w:pPr>
        <w:pStyle w:val="16"/>
        <w:ind w:firstLine="360" w:firstLineChars="200"/>
        <w:rPr>
          <w:rFonts w:ascii="宋体" w:hAnsi="宋体" w:eastAsia="宋体"/>
          <w:b w:val="0"/>
          <w:sz w:val="18"/>
        </w:rPr>
      </w:pPr>
      <w:r>
        <w:rPr>
          <w:rFonts w:hint="eastAsia" w:ascii="宋体" w:hAnsi="宋体" w:eastAsia="宋体"/>
          <w:b w:val="0"/>
          <w:sz w:val="18"/>
        </w:rPr>
        <w:t>2.当期来自境内投资者的直接投资额=新增股权+当期收益再投资+对境内投资者的新增债务工具（负债）</w:t>
      </w:r>
    </w:p>
    <w:p>
      <w:pPr>
        <w:pStyle w:val="16"/>
        <w:ind w:firstLine="360" w:firstLineChars="200"/>
        <w:rPr>
          <w:rFonts w:ascii="宋体" w:hAnsi="宋体" w:eastAsia="宋体"/>
          <w:b w:val="0"/>
          <w:sz w:val="18"/>
        </w:rPr>
      </w:pPr>
      <w:r>
        <w:rPr>
          <w:rFonts w:hint="eastAsia" w:ascii="宋体" w:hAnsi="宋体" w:eastAsia="宋体"/>
          <w:b w:val="0"/>
          <w:sz w:val="18"/>
        </w:rPr>
        <w:t>3.新增股权=股本期末数-股本期初数</w:t>
      </w:r>
    </w:p>
    <w:p>
      <w:pPr>
        <w:pStyle w:val="16"/>
        <w:ind w:firstLine="360" w:firstLineChars="200"/>
        <w:rPr>
          <w:rFonts w:ascii="宋体" w:hAnsi="宋体" w:eastAsia="宋体"/>
          <w:b w:val="0"/>
          <w:sz w:val="18"/>
        </w:rPr>
      </w:pPr>
      <w:r>
        <w:rPr>
          <w:rFonts w:hint="eastAsia" w:ascii="宋体" w:hAnsi="宋体" w:eastAsia="宋体"/>
          <w:b w:val="0"/>
          <w:sz w:val="18"/>
        </w:rPr>
        <w:t>4.当期收益再投资=按持股比例计算属于境内投资者的未分配利润期末数-期初数</w:t>
      </w:r>
    </w:p>
    <w:p>
      <w:pPr>
        <w:pStyle w:val="16"/>
        <w:ind w:firstLine="360" w:firstLineChars="200"/>
        <w:rPr>
          <w:rFonts w:ascii="宋体" w:hAnsi="宋体" w:eastAsia="宋体"/>
          <w:b w:val="0"/>
          <w:sz w:val="18"/>
        </w:rPr>
      </w:pPr>
      <w:r>
        <w:rPr>
          <w:rFonts w:hint="eastAsia" w:ascii="宋体" w:hAnsi="宋体" w:eastAsia="宋体"/>
          <w:b w:val="0"/>
          <w:sz w:val="18"/>
        </w:rPr>
        <w:t>5.年末来自境内投资者的直接投资存量= 年末来自境内投资者的直接投资额-年末对境内投资者的反向投资额</w:t>
      </w:r>
    </w:p>
    <w:p>
      <w:pPr>
        <w:pStyle w:val="16"/>
        <w:ind w:firstLine="360" w:firstLineChars="200"/>
        <w:rPr>
          <w:rFonts w:ascii="宋体" w:hAnsi="宋体" w:eastAsia="宋体"/>
          <w:b w:val="0"/>
          <w:sz w:val="18"/>
        </w:rPr>
      </w:pPr>
      <w:r>
        <w:rPr>
          <w:rFonts w:hint="eastAsia" w:ascii="宋体" w:hAnsi="宋体" w:eastAsia="宋体"/>
          <w:b w:val="0"/>
          <w:sz w:val="18"/>
        </w:rPr>
        <w:t xml:space="preserve">6.年末来自境内投资者的直接投资额=股本+收益再投资+对境内投资者的债务工具 </w:t>
      </w:r>
    </w:p>
    <w:p>
      <w:pPr>
        <w:pStyle w:val="16"/>
        <w:rPr>
          <w:rFonts w:ascii="宋体" w:hAnsi="宋体" w:eastAsia="宋体"/>
          <w:b w:val="0"/>
          <w:bCs/>
          <w:sz w:val="18"/>
          <w:szCs w:val="18"/>
        </w:rPr>
      </w:pPr>
    </w:p>
    <w:p>
      <w:pPr>
        <w:pStyle w:val="16"/>
        <w:rPr>
          <w:rFonts w:ascii="宋体" w:hAnsi="宋体" w:eastAsia="宋体"/>
          <w:b w:val="0"/>
          <w:bCs/>
          <w:sz w:val="18"/>
          <w:szCs w:val="18"/>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pStyle w:val="16"/>
        <w:jc w:val="center"/>
        <w:rPr>
          <w:rFonts w:ascii="宋体" w:hAnsi="宋体" w:eastAsia="宋体"/>
          <w:b w:val="0"/>
          <w:bCs/>
          <w:sz w:val="32"/>
          <w:szCs w:val="32"/>
        </w:rPr>
      </w:pPr>
    </w:p>
    <w:p>
      <w:pPr>
        <w:snapToGrid w:val="0"/>
        <w:jc w:val="center"/>
        <w:rPr>
          <w:b/>
          <w:sz w:val="32"/>
          <w:szCs w:val="32"/>
        </w:rPr>
      </w:pPr>
      <w:r>
        <w:rPr>
          <w:rFonts w:hint="eastAsia"/>
          <w:b/>
          <w:sz w:val="32"/>
          <w:szCs w:val="32"/>
        </w:rPr>
        <w:br w:type="page"/>
      </w:r>
    </w:p>
    <w:p>
      <w:pPr>
        <w:adjustRightInd w:val="0"/>
        <w:snapToGrid w:val="0"/>
        <w:spacing w:line="187" w:lineRule="auto"/>
        <w:jc w:val="center"/>
        <w:rPr>
          <w:b/>
          <w:sz w:val="32"/>
          <w:szCs w:val="32"/>
        </w:rPr>
      </w:pPr>
      <w:r>
        <w:rPr>
          <w:rFonts w:hint="eastAsia"/>
          <w:b/>
          <w:sz w:val="32"/>
          <w:szCs w:val="32"/>
        </w:rPr>
        <w:t>（六）文化及相关产业分类</w:t>
      </w:r>
    </w:p>
    <w:p>
      <w:pPr>
        <w:adjustRightInd w:val="0"/>
        <w:snapToGrid w:val="0"/>
        <w:spacing w:line="187" w:lineRule="auto"/>
        <w:jc w:val="right"/>
        <w:rPr>
          <w:bCs/>
          <w:szCs w:val="21"/>
        </w:rPr>
      </w:pPr>
      <w:r>
        <w:rPr>
          <w:rFonts w:hint="eastAsia"/>
          <w:bCs/>
          <w:szCs w:val="21"/>
        </w:rPr>
        <w:t>（2018年国家统计局发布）</w:t>
      </w:r>
    </w:p>
    <w:tbl>
      <w:tblPr>
        <w:tblStyle w:val="11"/>
        <w:tblW w:w="9799" w:type="dxa"/>
        <w:tblInd w:w="0" w:type="dxa"/>
        <w:tblLayout w:type="fixed"/>
        <w:tblCellMar>
          <w:top w:w="0" w:type="dxa"/>
          <w:left w:w="108" w:type="dxa"/>
          <w:bottom w:w="0" w:type="dxa"/>
          <w:right w:w="108" w:type="dxa"/>
        </w:tblCellMar>
      </w:tblPr>
      <w:tblGrid>
        <w:gridCol w:w="3635"/>
        <w:gridCol w:w="1304"/>
        <w:gridCol w:w="3556"/>
        <w:gridCol w:w="1304"/>
      </w:tblGrid>
      <w:tr>
        <w:tblPrEx>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一、文化核心领域</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国民经济行业代码</w:t>
            </w:r>
          </w:p>
        </w:tc>
        <w:tc>
          <w:tcPr>
            <w:tcW w:w="35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二、文化相关领域</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国民经济行业代码</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01：新闻信息服务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07：文化辅助生产和中介服务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新闻服务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文化辅助用品制造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新闻业</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8610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文化用机制纸及纸板制造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2221*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报纸信息服务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手工纸制造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2222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报纸出版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油墨及类似产品制造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2642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广播电视信息服务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工艺美术颜料制造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2644</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8710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文化用信息化学品制造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2664</w:t>
            </w:r>
          </w:p>
        </w:tc>
      </w:tr>
      <w:tr>
        <w:tblPrEx>
          <w:tblLayout w:type="fixed"/>
          <w:tblCellMar>
            <w:top w:w="0" w:type="dxa"/>
            <w:left w:w="108" w:type="dxa"/>
            <w:bottom w:w="0" w:type="dxa"/>
            <w:right w:w="108" w:type="dxa"/>
          </w:tblCellMar>
        </w:tblPrEx>
        <w:trPr>
          <w:trHeight w:val="11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8720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印刷复制服务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2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广播电视集成播控</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8740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书、报刊印刷</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互联网信息服务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本册印制</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2312</w:t>
            </w:r>
          </w:p>
        </w:tc>
      </w:tr>
      <w:tr>
        <w:tblPrEx>
          <w:tblLayout w:type="fixed"/>
          <w:tblCellMar>
            <w:top w:w="0" w:type="dxa"/>
            <w:left w:w="108" w:type="dxa"/>
            <w:bottom w:w="0" w:type="dxa"/>
            <w:right w:w="108" w:type="dxa"/>
          </w:tblCellMar>
        </w:tblPrEx>
        <w:trPr>
          <w:trHeight w:val="17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互联网搜索服务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包装装潢及其他印刷</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互联网其他信息服务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6429</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装订及印刷相关服务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2320</w:t>
            </w:r>
          </w:p>
        </w:tc>
      </w:tr>
      <w:tr>
        <w:tblPrEx>
          <w:tblLayout w:type="fixed"/>
          <w:tblCellMar>
            <w:top w:w="0" w:type="dxa"/>
            <w:left w:w="108" w:type="dxa"/>
            <w:bottom w:w="0" w:type="dxa"/>
            <w:right w:w="108" w:type="dxa"/>
          </w:tblCellMar>
        </w:tblPrEx>
        <w:trPr>
          <w:trHeight w:val="18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02：内容创作生产</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记录媒介复制</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2330</w:t>
            </w:r>
          </w:p>
        </w:tc>
      </w:tr>
      <w:tr>
        <w:tblPrEx>
          <w:tblLayout w:type="fixed"/>
          <w:tblCellMar>
            <w:top w:w="0" w:type="dxa"/>
            <w:left w:w="108" w:type="dxa"/>
            <w:bottom w:w="0" w:type="dxa"/>
            <w:right w:w="108" w:type="dxa"/>
          </w:tblCellMar>
        </w:tblPrEx>
        <w:trPr>
          <w:trHeight w:val="18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出版服务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摄影扩印服务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8060</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版权服务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期刊出版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版权和文化软件服务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7520*</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会议展览服务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电子出版物出版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会议、展览及相关服务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7281-7284</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数字出版</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8626</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文化经纪代理服务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7289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其他出版业</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8629</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文化活动服务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广播影视节目制作</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文化娱乐经纪人</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9053</w:t>
            </w:r>
          </w:p>
        </w:tc>
      </w:tr>
      <w:tr>
        <w:tblPrEx>
          <w:tblLayout w:type="fixed"/>
          <w:tblCellMar>
            <w:top w:w="0" w:type="dxa"/>
            <w:left w:w="108" w:type="dxa"/>
            <w:bottom w:w="0" w:type="dxa"/>
            <w:right w:w="108" w:type="dxa"/>
          </w:tblCellMar>
        </w:tblPrEx>
        <w:trPr>
          <w:trHeight w:val="22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影视节目制作</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8730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其他文化艺术经纪代理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录音制作</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8770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婚庆典礼服务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8070*</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创作表演服务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文化贸易代理服务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5181*</w:t>
            </w:r>
          </w:p>
        </w:tc>
      </w:tr>
      <w:tr>
        <w:tblPrEx>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文艺创作与表演</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8810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票务代理服务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7298</w:t>
            </w:r>
          </w:p>
        </w:tc>
      </w:tr>
      <w:tr>
        <w:tblPrEx>
          <w:tblLayout w:type="fixed"/>
          <w:tblCellMar>
            <w:top w:w="0" w:type="dxa"/>
            <w:left w:w="108" w:type="dxa"/>
            <w:bottom w:w="0" w:type="dxa"/>
            <w:right w:w="108" w:type="dxa"/>
          </w:tblCellMar>
        </w:tblPrEx>
        <w:trPr>
          <w:trHeight w:val="14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群众文体活动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8870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文化设备（用品）出租服务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其他文化艺术业</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8890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休闲娱乐用品设备出租</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数字内容服务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文化用品设备出租</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7123</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动漫、游戏数字内容服务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6572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文化科研培训服务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互联网游戏服务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社会人文科学研究</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7350</w:t>
            </w:r>
          </w:p>
        </w:tc>
      </w:tr>
      <w:tr>
        <w:tblPrEx>
          <w:tblLayout w:type="fixed"/>
          <w:tblCellMar>
            <w:top w:w="0" w:type="dxa"/>
            <w:left w:w="108" w:type="dxa"/>
            <w:bottom w:w="0" w:type="dxa"/>
            <w:right w:w="108" w:type="dxa"/>
          </w:tblCellMar>
        </w:tblPrEx>
        <w:trPr>
          <w:trHeight w:val="24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多媒体、游戏动漫和数字出版软件开发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6513*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学术理论社会（文化 ）团体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9521*</w:t>
            </w:r>
          </w:p>
        </w:tc>
      </w:tr>
      <w:tr>
        <w:tblPrEx>
          <w:tblLayout w:type="fixed"/>
          <w:tblCellMar>
            <w:top w:w="0" w:type="dxa"/>
            <w:left w:w="108" w:type="dxa"/>
            <w:bottom w:w="0" w:type="dxa"/>
            <w:right w:w="108" w:type="dxa"/>
          </w:tblCellMar>
        </w:tblPrEx>
        <w:trPr>
          <w:trHeight w:val="21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增值电信文化服务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6319*</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文化艺术培训</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8393</w:t>
            </w:r>
          </w:p>
        </w:tc>
      </w:tr>
      <w:tr>
        <w:tblPrEx>
          <w:tblLayout w:type="fixed"/>
          <w:tblCellMar>
            <w:top w:w="0" w:type="dxa"/>
            <w:left w:w="108" w:type="dxa"/>
            <w:bottom w:w="0" w:type="dxa"/>
            <w:right w:w="108" w:type="dxa"/>
          </w:tblCellMar>
        </w:tblPrEx>
        <w:trPr>
          <w:trHeight w:val="24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其他文化数字内容服务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6579*</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文化艺术辅导</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8399*</w:t>
            </w:r>
          </w:p>
        </w:tc>
      </w:tr>
      <w:tr>
        <w:tblPrEx>
          <w:tblLayout w:type="fixed"/>
          <w:tblCellMar>
            <w:top w:w="0" w:type="dxa"/>
            <w:left w:w="108" w:type="dxa"/>
            <w:bottom w:w="0" w:type="dxa"/>
            <w:right w:w="108" w:type="dxa"/>
          </w:tblCellMar>
        </w:tblPrEx>
        <w:trPr>
          <w:trHeight w:val="11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内容保存服务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08：文化装备生产0</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8831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印刷设备制造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档案馆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8832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印刷专用设备制造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3542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文物及非物质文化遗产保护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8840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复印和胶印设备制造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3474</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博物馆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8850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广播电视电影设备制造及销售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烈士陵园、纪念馆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8860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广播电视节目制作及发射设备制造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3931</w:t>
            </w:r>
          </w:p>
        </w:tc>
      </w:tr>
      <w:tr>
        <w:tblPrEx>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工艺美术品制造</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广播电视接收设备制造</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3932</w:t>
            </w:r>
          </w:p>
        </w:tc>
      </w:tr>
      <w:tr>
        <w:tblPrEx>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雕塑工艺品制造</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2431</w:t>
            </w:r>
          </w:p>
        </w:tc>
        <w:tc>
          <w:tcPr>
            <w:tcW w:w="35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广播电视专用配件制造</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3933</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金属工艺品制造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专业音响设备制造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3934</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漆器工艺品制造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ind w:right="-239" w:rightChars="-114"/>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应用电视设备及其他广播电视设备制造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花画工艺品制造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广播影视设备批发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5178</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天然植物纤维编织工艺品制造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电影机械制造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抽纱刺绣工艺品制造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2436</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摄录设备制造及销售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地毯、挂毯制造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2437</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影视录放设备制造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3953</w:t>
            </w:r>
          </w:p>
        </w:tc>
      </w:tr>
      <w:tr>
        <w:tblPrEx>
          <w:tblLayout w:type="fixed"/>
          <w:tblCellMar>
            <w:top w:w="0" w:type="dxa"/>
            <w:left w:w="108" w:type="dxa"/>
            <w:bottom w:w="0" w:type="dxa"/>
            <w:right w:w="108" w:type="dxa"/>
          </w:tblCellMar>
        </w:tblPrEx>
        <w:trPr>
          <w:trHeight w:val="16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珠宝首饰及有关物品制造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2438</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娱乐用智能无人飞行器制造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3963*</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其他工艺美术及礼仪用品制造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2439</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幻灯及投影设备制造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艺术陶瓷制造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照相机及器材制造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3473</w:t>
            </w:r>
          </w:p>
        </w:tc>
      </w:tr>
      <w:tr>
        <w:tblPrEx>
          <w:tblLayout w:type="fixed"/>
          <w:tblCellMar>
            <w:top w:w="0" w:type="dxa"/>
            <w:left w:w="108" w:type="dxa"/>
            <w:bottom w:w="0" w:type="dxa"/>
            <w:right w:w="108" w:type="dxa"/>
          </w:tblCellMar>
        </w:tblPrEx>
        <w:trPr>
          <w:trHeight w:val="12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陈设艺术陶瓷制造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3075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照相器材零售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5248</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园艺陶瓷制造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3076</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演艺设备制造及销售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8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03：创意设计服务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舞台及场地用灯制造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3873</w:t>
            </w:r>
          </w:p>
        </w:tc>
      </w:tr>
      <w:tr>
        <w:tblPrEx>
          <w:tblLayout w:type="fixed"/>
          <w:tblCellMar>
            <w:top w:w="0" w:type="dxa"/>
            <w:left w:w="108" w:type="dxa"/>
            <w:bottom w:w="0" w:type="dxa"/>
            <w:right w:w="108" w:type="dxa"/>
          </w:tblCellMar>
        </w:tblPrEx>
        <w:trPr>
          <w:trHeight w:val="118" w:hRule="atLeast"/>
        </w:trPr>
        <w:tc>
          <w:tcPr>
            <w:tcW w:w="3635" w:type="dxa"/>
            <w:tcBorders>
              <w:top w:val="nil"/>
              <w:left w:val="single" w:color="auto" w:sz="4" w:space="0"/>
              <w:bottom w:val="single" w:color="auto" w:sz="2"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广告服务</w:t>
            </w:r>
          </w:p>
        </w:tc>
        <w:tc>
          <w:tcPr>
            <w:tcW w:w="1304" w:type="dxa"/>
            <w:tcBorders>
              <w:top w:val="nil"/>
              <w:left w:val="nil"/>
              <w:bottom w:val="single" w:color="auto" w:sz="2"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2"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舞台照明设备批发</w:t>
            </w:r>
          </w:p>
        </w:tc>
        <w:tc>
          <w:tcPr>
            <w:tcW w:w="1304" w:type="dxa"/>
            <w:tcBorders>
              <w:top w:val="nil"/>
              <w:left w:val="nil"/>
              <w:bottom w:val="single" w:color="auto" w:sz="2"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5175*</w:t>
            </w:r>
          </w:p>
        </w:tc>
      </w:tr>
      <w:tr>
        <w:tblPrEx>
          <w:tblLayout w:type="fixed"/>
          <w:tblCellMar>
            <w:top w:w="0" w:type="dxa"/>
            <w:left w:w="108" w:type="dxa"/>
            <w:bottom w:w="0" w:type="dxa"/>
            <w:right w:w="108" w:type="dxa"/>
          </w:tblCellMar>
        </w:tblPrEx>
        <w:trPr>
          <w:trHeight w:val="90" w:hRule="atLeast"/>
        </w:trPr>
        <w:tc>
          <w:tcPr>
            <w:tcW w:w="3635" w:type="dxa"/>
            <w:tcBorders>
              <w:top w:val="single" w:color="auto" w:sz="2" w:space="0"/>
              <w:left w:val="single" w:color="auto" w:sz="4" w:space="0"/>
              <w:bottom w:val="single" w:color="auto" w:sz="2" w:space="0"/>
              <w:right w:val="single" w:color="auto" w:sz="2"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互联网广告服务</w:t>
            </w:r>
          </w:p>
        </w:tc>
        <w:tc>
          <w:tcPr>
            <w:tcW w:w="1304"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7251</w:t>
            </w:r>
          </w:p>
        </w:tc>
        <w:tc>
          <w:tcPr>
            <w:tcW w:w="3556"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游乐游艺设备制造</w:t>
            </w:r>
          </w:p>
        </w:tc>
        <w:tc>
          <w:tcPr>
            <w:tcW w:w="1304" w:type="dxa"/>
            <w:tcBorders>
              <w:top w:val="single" w:color="auto" w:sz="2" w:space="0"/>
              <w:left w:val="single" w:color="auto" w:sz="2" w:space="0"/>
              <w:bottom w:val="single" w:color="auto" w:sz="2"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single" w:color="auto" w:sz="2"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其他广告服务</w:t>
            </w:r>
          </w:p>
        </w:tc>
        <w:tc>
          <w:tcPr>
            <w:tcW w:w="1304" w:type="dxa"/>
            <w:tcBorders>
              <w:top w:val="single" w:color="auto" w:sz="2"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7259</w:t>
            </w:r>
          </w:p>
        </w:tc>
        <w:tc>
          <w:tcPr>
            <w:tcW w:w="3556" w:type="dxa"/>
            <w:tcBorders>
              <w:top w:val="single" w:color="auto" w:sz="2" w:space="0"/>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露天游乐场所游乐设备制造</w:t>
            </w:r>
          </w:p>
        </w:tc>
        <w:tc>
          <w:tcPr>
            <w:tcW w:w="1304" w:type="dxa"/>
            <w:tcBorders>
              <w:top w:val="single" w:color="auto" w:sz="2"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设计服务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游艺用品及室内游艺器材制造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建筑设计服务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7484*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其他娱乐用品制造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2469</w:t>
            </w:r>
          </w:p>
        </w:tc>
      </w:tr>
      <w:tr>
        <w:tblPrEx>
          <w:tblLayout w:type="fixed"/>
          <w:tblCellMar>
            <w:top w:w="0" w:type="dxa"/>
            <w:left w:w="108" w:type="dxa"/>
            <w:bottom w:w="0" w:type="dxa"/>
            <w:right w:w="108" w:type="dxa"/>
          </w:tblCellMar>
        </w:tblPrEx>
        <w:trPr>
          <w:trHeight w:val="10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工业设计服务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7491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乐器制造及销售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专业设计服务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7492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中乐器制造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04：文化传播渠道</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西乐器制造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出版物发行</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电子乐器制造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2423</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其他乐器及零件制造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报刊批发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乐器批发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5147</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音像制品、电子和数字出版物批发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乐器零售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5247</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图书、报刊零售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09：文化消费终端生产</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音像制品、电子和数字出版物零售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文具制造及销售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7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图书出租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2411</w:t>
            </w:r>
          </w:p>
        </w:tc>
      </w:tr>
      <w:tr>
        <w:tblPrEx>
          <w:tblLayout w:type="fixed"/>
          <w:tblCellMar>
            <w:top w:w="0" w:type="dxa"/>
            <w:left w:w="108" w:type="dxa"/>
            <w:bottom w:w="0" w:type="dxa"/>
            <w:right w:w="108" w:type="dxa"/>
          </w:tblCellMar>
        </w:tblPrEx>
        <w:trPr>
          <w:trHeight w:val="9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音像制品出租 </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文具用品批发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5141</w:t>
            </w:r>
          </w:p>
        </w:tc>
      </w:tr>
      <w:tr>
        <w:tblPrEx>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广播电视节目传输</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文具用品零售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5241</w:t>
            </w:r>
          </w:p>
        </w:tc>
      </w:tr>
      <w:tr>
        <w:tblPrEx>
          <w:tblLayout w:type="fixed"/>
          <w:tblCellMar>
            <w:top w:w="0" w:type="dxa"/>
            <w:left w:w="108" w:type="dxa"/>
            <w:bottom w:w="0" w:type="dxa"/>
            <w:right w:w="108" w:type="dxa"/>
          </w:tblCellMar>
        </w:tblPrEx>
        <w:trPr>
          <w:trHeight w:val="12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有线广播电视传输服务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6321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笔墨制造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无线广播电视传输服务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6322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笔的制造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2412</w:t>
            </w:r>
          </w:p>
        </w:tc>
      </w:tr>
      <w:tr>
        <w:tblPrEx>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广播电视卫星传输服务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6331</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墨水、墨汁制造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2414</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广播影视发行放映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玩具制造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电影和广播电视节目发行</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8750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玩具制造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ind w:left="-199" w:leftChars="-95" w:right="-170" w:rightChars="-81"/>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2459\2451-2456</w:t>
            </w:r>
          </w:p>
        </w:tc>
      </w:tr>
      <w:tr>
        <w:tblPrEx>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电影放映</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8760</w:t>
            </w:r>
          </w:p>
        </w:tc>
        <w:tc>
          <w:tcPr>
            <w:tcW w:w="35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节庆用品制造</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10" w:hRule="atLeast"/>
        </w:trPr>
        <w:tc>
          <w:tcPr>
            <w:tcW w:w="3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艺术表演</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焰火、鞭炮产品制造</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2672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艺术表演场馆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8820</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信息服务终端制造及销售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互联网文化娱乐平台</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电视机制造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3951</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互联网文化娱乐平台</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6432*</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音响设备制造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3952</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firstLine="181" w:firstLineChars="10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艺术品拍卖及代理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可穿戴智能文化设备制造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3961*</w:t>
            </w:r>
          </w:p>
        </w:tc>
      </w:tr>
      <w:tr>
        <w:tblPrEx>
          <w:tblLayout w:type="fixed"/>
          <w:tblCellMar>
            <w:top w:w="0" w:type="dxa"/>
            <w:left w:w="108" w:type="dxa"/>
            <w:bottom w:w="0" w:type="dxa"/>
            <w:right w:w="108" w:type="dxa"/>
          </w:tblCellMar>
        </w:tblPrEx>
        <w:trPr>
          <w:trHeight w:val="13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艺术品、收藏品拍卖</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5183</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其他智能文化消费设备制造</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艺术品代理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5184</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家用视听设备批发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5137</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工艺美术品销售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家用视听设备零售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5271</w:t>
            </w:r>
          </w:p>
        </w:tc>
      </w:tr>
      <w:tr>
        <w:tblPrEx>
          <w:tblLayout w:type="fixed"/>
          <w:tblCellMar>
            <w:top w:w="0" w:type="dxa"/>
            <w:left w:w="108" w:type="dxa"/>
            <w:bottom w:w="0" w:type="dxa"/>
            <w:right w:w="108" w:type="dxa"/>
          </w:tblCellMar>
        </w:tblPrEx>
        <w:trPr>
          <w:trHeight w:val="10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首饰、工艺品及收藏品批发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5146</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其他文化用品批发</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珠宝首饰零售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5245</w:t>
            </w:r>
          </w:p>
        </w:tc>
        <w:tc>
          <w:tcPr>
            <w:tcW w:w="355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其他文化用品零售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5249</w:t>
            </w: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工艺美术品及收藏品零售</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5246</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05：文化投资运营</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投资与资产管理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文化投资与资产管理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7212*</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运营管理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0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文化企业总部管理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7211*</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文化产业园区管理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7221*</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06：文化娱乐休闲服务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娱乐服务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5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歌舞厅娱乐活动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9011</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电子游艺厅娱乐活动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9012</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网吧活动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9013</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其他室内娱乐活动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9019</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游乐园</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9020</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其他娱乐业</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9090</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景区游览服务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城市公园管理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7850</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3"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名胜风景区管理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7861</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森林公园管理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7862</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其他游览景区管理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7869</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自然遗迹保护管理</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7712</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动物园、水族馆管理服务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7715</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植物园管理服务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7716</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休闲观光游览服务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08"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休闲观光活动</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9030</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5" w:hRule="atLeast"/>
        </w:trPr>
        <w:tc>
          <w:tcPr>
            <w:tcW w:w="363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观光游览航空服务</w:t>
            </w:r>
          </w:p>
        </w:tc>
        <w:tc>
          <w:tcPr>
            <w:tcW w:w="130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5622</w:t>
            </w:r>
          </w:p>
        </w:tc>
        <w:tc>
          <w:tcPr>
            <w:tcW w:w="3556"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shd w:val="clear" w:color="auto" w:fill="auto"/>
            <w:noWrap/>
            <w:vAlign w:val="center"/>
          </w:tcPr>
          <w:p>
            <w:pPr>
              <w:widowControl/>
              <w:snapToGrid w:val="0"/>
              <w:jc w:val="left"/>
              <w:rPr>
                <w:rFonts w:ascii="宋体" w:hAnsi="宋体" w:cs="宋体"/>
                <w:color w:val="000000"/>
                <w:kern w:val="0"/>
                <w:sz w:val="18"/>
                <w:szCs w:val="18"/>
              </w:rPr>
            </w:pPr>
          </w:p>
        </w:tc>
      </w:tr>
    </w:tbl>
    <w:p>
      <w:pPr>
        <w:jc w:val="center"/>
        <w:rPr>
          <w:rFonts w:ascii="宋体" w:hAnsi="宋体"/>
          <w:b/>
          <w:sz w:val="32"/>
          <w:szCs w:val="32"/>
        </w:rPr>
      </w:pPr>
      <w:r>
        <w:rPr>
          <w:rFonts w:hint="eastAsia" w:ascii="宋体" w:hAnsi="宋体"/>
          <w:b/>
          <w:sz w:val="32"/>
          <w:szCs w:val="32"/>
        </w:rPr>
        <w:t>（七）向国家统计局报送的统计资料清单</w:t>
      </w:r>
    </w:p>
    <w:p>
      <w:pPr>
        <w:numPr>
          <w:ilvl w:val="0"/>
          <w:numId w:val="2"/>
        </w:numPr>
        <w:ind w:left="855" w:hanging="855"/>
        <w:rPr>
          <w:rFonts w:ascii="宋体" w:hAnsi="宋体"/>
          <w:sz w:val="28"/>
          <w:szCs w:val="28"/>
        </w:rPr>
      </w:pPr>
      <w:r>
        <w:rPr>
          <w:rFonts w:hint="eastAsia" w:ascii="宋体" w:hAnsi="宋体"/>
          <w:b/>
          <w:sz w:val="28"/>
          <w:szCs w:val="28"/>
        </w:rPr>
        <w:t>综合定报：</w:t>
      </w:r>
      <w:r>
        <w:rPr>
          <w:rFonts w:hint="eastAsia" w:ascii="宋体" w:hAnsi="宋体"/>
          <w:sz w:val="28"/>
          <w:szCs w:val="28"/>
        </w:rPr>
        <w:t>包括对外直接投资构成（股权、收益再投资、债务工具）情况（金额、同比）；月后20日前提供。</w:t>
      </w:r>
    </w:p>
    <w:p>
      <w:pPr>
        <w:numPr>
          <w:ilvl w:val="0"/>
          <w:numId w:val="5"/>
        </w:numPr>
        <w:rPr>
          <w:rFonts w:ascii="宋体" w:hAnsi="宋体"/>
          <w:sz w:val="28"/>
          <w:szCs w:val="28"/>
        </w:rPr>
      </w:pPr>
      <w:r>
        <w:rPr>
          <w:rFonts w:hint="eastAsia" w:ascii="宋体" w:hAnsi="宋体"/>
          <w:b/>
          <w:sz w:val="28"/>
          <w:szCs w:val="28"/>
        </w:rPr>
        <w:t>综合年报：</w:t>
      </w:r>
      <w:r>
        <w:rPr>
          <w:rFonts w:hint="eastAsia" w:ascii="宋体" w:hAnsi="宋体"/>
          <w:sz w:val="28"/>
          <w:szCs w:val="28"/>
        </w:rPr>
        <w:t>包括按国别（地区）、国民经济行业大类、省（自治区、直辖市）分组的对外直接投资流量、存量；年后9月30日前提供。</w:t>
      </w:r>
    </w:p>
    <w:p>
      <w:pPr>
        <w:ind w:left="360"/>
        <w:rPr>
          <w:rFonts w:ascii="宋体" w:hAnsi="宋体"/>
          <w:sz w:val="28"/>
          <w:szCs w:val="28"/>
        </w:rPr>
      </w:pPr>
    </w:p>
    <w:p>
      <w:pPr>
        <w:jc w:val="center"/>
        <w:rPr>
          <w:rFonts w:ascii="宋体" w:hAnsi="宋体"/>
          <w:b/>
          <w:bCs/>
          <w:sz w:val="32"/>
          <w:szCs w:val="32"/>
        </w:rPr>
      </w:pPr>
      <w:r>
        <w:rPr>
          <w:rFonts w:hint="eastAsia" w:ascii="宋体" w:hAnsi="宋体"/>
          <w:b/>
          <w:bCs/>
          <w:sz w:val="32"/>
          <w:szCs w:val="32"/>
        </w:rPr>
        <w:t>（八）《关于防范商务领域统计造假弄虚作假</w:t>
      </w:r>
    </w:p>
    <w:p>
      <w:pPr>
        <w:jc w:val="center"/>
        <w:rPr>
          <w:rFonts w:ascii="宋体" w:hAnsi="宋体"/>
          <w:b/>
          <w:bCs/>
          <w:sz w:val="32"/>
          <w:szCs w:val="32"/>
        </w:rPr>
      </w:pPr>
      <w:r>
        <w:rPr>
          <w:rFonts w:hint="eastAsia" w:ascii="宋体" w:hAnsi="宋体"/>
          <w:b/>
          <w:bCs/>
          <w:sz w:val="32"/>
          <w:szCs w:val="32"/>
        </w:rPr>
        <w:t>有关责任的规定》（试行）</w:t>
      </w:r>
    </w:p>
    <w:p>
      <w:pPr>
        <w:jc w:val="center"/>
        <w:rPr>
          <w:rFonts w:ascii="宋体" w:hAnsi="宋体"/>
          <w:b/>
          <w:bCs/>
          <w:sz w:val="24"/>
        </w:rPr>
      </w:pPr>
      <w:r>
        <w:rPr>
          <w:rFonts w:hint="eastAsia" w:ascii="宋体" w:hAnsi="宋体"/>
          <w:b/>
          <w:bCs/>
          <w:sz w:val="24"/>
        </w:rPr>
        <w:t>2018年5月15日发布</w:t>
      </w:r>
    </w:p>
    <w:p>
      <w:pPr>
        <w:spacing w:line="360" w:lineRule="auto"/>
        <w:ind w:firstLine="482" w:firstLineChars="200"/>
        <w:rPr>
          <w:rFonts w:ascii="宋体" w:hAnsi="宋体"/>
          <w:sz w:val="24"/>
        </w:rPr>
      </w:pPr>
      <w:r>
        <w:rPr>
          <w:rFonts w:hint="eastAsia" w:ascii="宋体" w:hAnsi="宋体"/>
          <w:b/>
          <w:sz w:val="24"/>
        </w:rPr>
        <w:t>第一条</w:t>
      </w:r>
      <w:r>
        <w:rPr>
          <w:rFonts w:hint="eastAsia" w:ascii="宋体" w:hAnsi="宋体"/>
          <w:sz w:val="24"/>
        </w:rPr>
        <w:t xml:space="preserve">  为深入贯彻执行中央《关于深化统计管理体制改革提高统计数据真实性的意见》，认真落实《统计违纪违法责任人处理建议办法》，全面防范和严肃惩治商务统计造假、弄虚作假，保障商务统计数据质量，制定本规定。</w:t>
      </w:r>
    </w:p>
    <w:p>
      <w:pPr>
        <w:spacing w:line="360" w:lineRule="auto"/>
        <w:ind w:firstLine="482" w:firstLineChars="200"/>
        <w:rPr>
          <w:rFonts w:ascii="宋体" w:hAnsi="宋体"/>
          <w:sz w:val="24"/>
        </w:rPr>
      </w:pPr>
      <w:r>
        <w:rPr>
          <w:rFonts w:hint="eastAsia" w:ascii="宋体" w:hAnsi="宋体"/>
          <w:b/>
          <w:sz w:val="24"/>
        </w:rPr>
        <w:t>第二条</w:t>
      </w:r>
      <w:r>
        <w:rPr>
          <w:rFonts w:hint="eastAsia" w:ascii="宋体" w:hAnsi="宋体"/>
          <w:sz w:val="24"/>
        </w:rPr>
        <w:t xml:space="preserve">  本规定适用于商务部和地方各级商务主管部门负责商务统计管理和商务统计工作的人员。</w:t>
      </w:r>
    </w:p>
    <w:p>
      <w:pPr>
        <w:spacing w:line="360" w:lineRule="auto"/>
        <w:ind w:firstLine="482" w:firstLineChars="200"/>
        <w:rPr>
          <w:rFonts w:ascii="宋体" w:hAnsi="宋体"/>
          <w:sz w:val="24"/>
        </w:rPr>
      </w:pPr>
      <w:r>
        <w:rPr>
          <w:rFonts w:hint="eastAsia" w:ascii="宋体" w:hAnsi="宋体"/>
          <w:b/>
          <w:sz w:val="24"/>
        </w:rPr>
        <w:t>第三条</w:t>
      </w:r>
      <w:r>
        <w:rPr>
          <w:rFonts w:hint="eastAsia" w:ascii="宋体" w:hAnsi="宋体"/>
          <w:sz w:val="24"/>
        </w:rPr>
        <w:t xml:space="preserve">  建立防范统计造假、弄虚作假责任制，坚持惩防并举、注重预防，坚持集体领导与个人分工负责相结合，按照谁主管、谁负责，谁经办、谁负责，建立一级抓一级、层层抓落实的责任体系。</w:t>
      </w:r>
    </w:p>
    <w:p>
      <w:pPr>
        <w:spacing w:line="360" w:lineRule="auto"/>
        <w:ind w:firstLine="482" w:firstLineChars="200"/>
        <w:rPr>
          <w:rFonts w:ascii="宋体" w:hAnsi="宋体"/>
          <w:sz w:val="24"/>
        </w:rPr>
      </w:pPr>
      <w:r>
        <w:rPr>
          <w:rFonts w:hint="eastAsia" w:ascii="宋体" w:hAnsi="宋体"/>
          <w:b/>
          <w:sz w:val="24"/>
        </w:rPr>
        <w:t>第四条</w:t>
      </w:r>
      <w:r>
        <w:rPr>
          <w:rFonts w:hint="eastAsia" w:ascii="宋体" w:hAnsi="宋体"/>
          <w:sz w:val="24"/>
        </w:rPr>
        <w:t xml:space="preserve">  部门主要负责人对防范统计造假、弄虚作假工作负主要领导责任，其责任是：遵守执行统计法律法规规章；推动建立责任体系，努力形成从上到下防范统计造假、弄虚作假责任机制；监督制定防范统计造假、弄虚作假工作计划和措施；健全统计工作机制，加强统计人员队伍建设。</w:t>
      </w:r>
    </w:p>
    <w:p>
      <w:pPr>
        <w:spacing w:line="360" w:lineRule="auto"/>
        <w:ind w:firstLine="482" w:firstLineChars="200"/>
        <w:rPr>
          <w:rFonts w:ascii="宋体" w:hAnsi="宋体"/>
          <w:sz w:val="24"/>
        </w:rPr>
      </w:pPr>
      <w:r>
        <w:rPr>
          <w:rFonts w:hint="eastAsia" w:ascii="宋体" w:hAnsi="宋体"/>
          <w:b/>
          <w:sz w:val="24"/>
        </w:rPr>
        <w:t>第五条</w:t>
      </w:r>
      <w:r>
        <w:rPr>
          <w:rFonts w:hint="eastAsia" w:ascii="宋体" w:hAnsi="宋体"/>
          <w:sz w:val="24"/>
        </w:rPr>
        <w:t xml:space="preserve">  部门分管负责人对防范统计造假、弄虚作假工作负直接领导责任，其责任是：遵守执行统计法律法规规章；研究防范统计造假、弄虚作假的任务和措施，督促指导所负责业务部门严格依照统计法律法规规章和统计调查制度开展统计调查。</w:t>
      </w:r>
    </w:p>
    <w:p>
      <w:pPr>
        <w:spacing w:line="360" w:lineRule="auto"/>
        <w:ind w:firstLine="482" w:firstLineChars="200"/>
        <w:rPr>
          <w:rFonts w:ascii="宋体" w:hAnsi="宋体"/>
          <w:sz w:val="24"/>
        </w:rPr>
      </w:pPr>
      <w:r>
        <w:rPr>
          <w:rFonts w:hint="eastAsia" w:ascii="宋体" w:hAnsi="宋体"/>
          <w:b/>
          <w:sz w:val="24"/>
        </w:rPr>
        <w:t>第六条</w:t>
      </w:r>
      <w:r>
        <w:rPr>
          <w:rFonts w:hint="eastAsia" w:ascii="宋体" w:hAnsi="宋体"/>
          <w:sz w:val="24"/>
        </w:rPr>
        <w:t xml:space="preserve">  涉及统计职能的相关司局、处室和科室负责人对防范统计造假、弄虚作假工作负直接领导责任，其责任是：遵守执行统计法律法规规章；制定落实防范统计造假、弄虚作假的具体任务和措施，严格依照统计法律法规规章和统计调查制度开展统计调查；健全统计数据采集、处理、核查、报送和发布等环节的数据质量控制制度。</w:t>
      </w:r>
    </w:p>
    <w:p>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统计人员对防范统计造假、弄虚作假工作负直接责任，其责任是：遵守执行统计法律法规规章；依法履行职责，坚持实事求是，如实采集、处理、核查、报送和发布统计资料，不得伪造、篡改统计资料，不得以任何方式要求任何单位和个人提供不真实的统计资料。</w:t>
      </w:r>
    </w:p>
    <w:p>
      <w:pPr>
        <w:spacing w:line="360" w:lineRule="auto"/>
        <w:ind w:firstLine="482" w:firstLineChars="200"/>
        <w:rPr>
          <w:rFonts w:ascii="宋体" w:hAnsi="宋体"/>
          <w:sz w:val="24"/>
        </w:rPr>
      </w:pPr>
      <w:r>
        <w:rPr>
          <w:rFonts w:hint="eastAsia" w:ascii="宋体" w:hAnsi="宋体"/>
          <w:b/>
          <w:sz w:val="24"/>
        </w:rPr>
        <w:t>第八条</w:t>
      </w:r>
      <w:r>
        <w:rPr>
          <w:rFonts w:hint="eastAsia" w:ascii="宋体" w:hAnsi="宋体"/>
          <w:sz w:val="24"/>
        </w:rPr>
        <w:t xml:space="preserve">  各级商务主管部门负责人不得自行修改统计人员依法搜集、整理的统计资料，不得以任何方式要求统计人员伪造、篡改统计资料，不得对依法履行职责或者拒绝、抵制统计违法行为的统计人员打击报复。</w:t>
      </w:r>
    </w:p>
    <w:p>
      <w:pPr>
        <w:spacing w:line="360" w:lineRule="auto"/>
        <w:ind w:firstLine="482" w:firstLineChars="200"/>
        <w:rPr>
          <w:rFonts w:ascii="宋体" w:hAnsi="宋体"/>
          <w:sz w:val="24"/>
        </w:rPr>
      </w:pPr>
      <w:r>
        <w:rPr>
          <w:rFonts w:hint="eastAsia" w:ascii="宋体" w:hAnsi="宋体"/>
          <w:b/>
          <w:sz w:val="24"/>
        </w:rPr>
        <w:t>第九条</w:t>
      </w:r>
      <w:r>
        <w:rPr>
          <w:rFonts w:hint="eastAsia" w:ascii="宋体" w:hAnsi="宋体"/>
          <w:sz w:val="24"/>
        </w:rPr>
        <w:t xml:space="preserve">  各级商务主管部门依法对下级商务主管部门数据真实情况进行监督检查。</w:t>
      </w:r>
    </w:p>
    <w:p>
      <w:pPr>
        <w:spacing w:line="360" w:lineRule="auto"/>
        <w:ind w:firstLine="482" w:firstLineChars="200"/>
        <w:rPr>
          <w:rFonts w:ascii="宋体" w:hAnsi="宋体"/>
          <w:sz w:val="24"/>
        </w:rPr>
      </w:pPr>
      <w:r>
        <w:rPr>
          <w:rFonts w:hint="eastAsia" w:ascii="宋体" w:hAnsi="宋体"/>
          <w:b/>
          <w:sz w:val="24"/>
        </w:rPr>
        <w:t>第十条</w:t>
      </w:r>
      <w:r>
        <w:rPr>
          <w:rFonts w:hint="eastAsia" w:ascii="宋体" w:hAnsi="宋体"/>
          <w:sz w:val="24"/>
        </w:rPr>
        <w:t xml:space="preserve">  对违反统计法律法规及本规定的，依法依规追究相关人员的责任。</w:t>
      </w:r>
    </w:p>
    <w:p>
      <w:pPr>
        <w:spacing w:line="360" w:lineRule="auto"/>
        <w:ind w:firstLine="482" w:firstLineChars="200"/>
        <w:rPr>
          <w:sz w:val="24"/>
        </w:rPr>
      </w:pPr>
      <w:r>
        <w:rPr>
          <w:rFonts w:hint="eastAsia" w:ascii="宋体" w:hAnsi="宋体"/>
          <w:b/>
          <w:sz w:val="24"/>
        </w:rPr>
        <w:t>第十一条</w:t>
      </w:r>
      <w:r>
        <w:rPr>
          <w:rFonts w:hint="eastAsia" w:ascii="宋体" w:hAnsi="宋体"/>
          <w:sz w:val="24"/>
        </w:rPr>
        <w:t xml:space="preserve">  本规定由商务部负责解释，自发布之日起施行。</w:t>
      </w:r>
    </w:p>
    <w:p>
      <w:pPr>
        <w:tabs>
          <w:tab w:val="left" w:pos="142"/>
        </w:tabs>
        <w:spacing w:line="480" w:lineRule="auto"/>
        <w:ind w:firstLine="645"/>
        <w:jc w:val="right"/>
        <w:rPr>
          <w:rFonts w:ascii="仿宋_GB2312" w:eastAsia="仿宋_GB2312"/>
          <w:sz w:val="32"/>
          <w:szCs w:val="32"/>
        </w:rPr>
      </w:pPr>
    </w:p>
    <w:sectPr>
      <w:headerReference r:id="rId5" w:type="default"/>
      <w:footerReference r:id="rId6" w:type="default"/>
      <w:pgSz w:w="11906" w:h="16838"/>
      <w:pgMar w:top="1191" w:right="1219" w:bottom="1191" w:left="1219"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6402153"/>
                          </w:sdtPr>
                          <w:sdtContent>
                            <w:p>
                              <w:pPr>
                                <w:pStyle w:val="5"/>
                                <w:jc w:val="center"/>
                              </w:pPr>
                              <w:r>
                                <w:rPr>
                                  <w:rFonts w:hint="eastAsia"/>
                                </w:rPr>
                                <w:t xml:space="preserve">- </w:t>
                              </w:r>
                              <w:r>
                                <w:fldChar w:fldCharType="begin"/>
                              </w:r>
                              <w:r>
                                <w:instrText xml:space="preserve">PAGE   \* MERGEFORMAT</w:instrText>
                              </w:r>
                              <w:r>
                                <w:fldChar w:fldCharType="separate"/>
                              </w:r>
                              <w:r>
                                <w:rPr>
                                  <w:lang w:val="zh-CN"/>
                                </w:rPr>
                                <w:t>-</w:t>
                              </w:r>
                              <w:r>
                                <w:t xml:space="preserve"> 57 -</w:t>
                              </w:r>
                              <w:r>
                                <w:fldChar w:fldCharType="end"/>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646402153"/>
                    </w:sdtPr>
                    <w:sdtContent>
                      <w:p>
                        <w:pPr>
                          <w:pStyle w:val="5"/>
                          <w:jc w:val="center"/>
                        </w:pPr>
                        <w:r>
                          <w:rPr>
                            <w:rFonts w:hint="eastAsia"/>
                          </w:rPr>
                          <w:t xml:space="preserve">- </w:t>
                        </w:r>
                        <w:r>
                          <w:fldChar w:fldCharType="begin"/>
                        </w:r>
                        <w:r>
                          <w:instrText xml:space="preserve">PAGE   \* MERGEFORMAT</w:instrText>
                        </w:r>
                        <w:r>
                          <w:fldChar w:fldCharType="separate"/>
                        </w:r>
                        <w:r>
                          <w:rPr>
                            <w:lang w:val="zh-CN"/>
                          </w:rPr>
                          <w:t>-</w:t>
                        </w:r>
                        <w:r>
                          <w:t xml:space="preserve"> 57 -</w:t>
                        </w:r>
                        <w:r>
                          <w:fldChar w:fldCharType="end"/>
                        </w:r>
                        <w:r>
                          <w:rPr>
                            <w:rFonts w:hint="eastAsia"/>
                          </w:rPr>
                          <w:t xml:space="preserve"> -</w:t>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224"/>
    <w:multiLevelType w:val="multilevel"/>
    <w:tmpl w:val="0C292224"/>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636E41"/>
    <w:multiLevelType w:val="multilevel"/>
    <w:tmpl w:val="1A636E41"/>
    <w:lvl w:ilvl="0" w:tentative="0">
      <w:start w:val="2"/>
      <w:numFmt w:val="none"/>
      <w:lvlText w:val="二、"/>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6978D1"/>
    <w:multiLevelType w:val="multilevel"/>
    <w:tmpl w:val="306978D1"/>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278300F"/>
    <w:multiLevelType w:val="multilevel"/>
    <w:tmpl w:val="4278300F"/>
    <w:lvl w:ilvl="0" w:tentative="0">
      <w:start w:val="1"/>
      <w:numFmt w:val="none"/>
      <w:lvlText w:val="一、"/>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3EE3409"/>
    <w:multiLevelType w:val="multilevel"/>
    <w:tmpl w:val="43EE3409"/>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CE597F"/>
    <w:multiLevelType w:val="multilevel"/>
    <w:tmpl w:val="4BCE597F"/>
    <w:lvl w:ilvl="0" w:tentative="0">
      <w:start w:val="2"/>
      <w:numFmt w:val="none"/>
      <w:lvlText w:val="二、"/>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7273791"/>
    <w:multiLevelType w:val="multilevel"/>
    <w:tmpl w:val="57273791"/>
    <w:lvl w:ilvl="0" w:tentative="0">
      <w:start w:val="1"/>
      <w:numFmt w:val="japaneseCounting"/>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D3656B5"/>
    <w:multiLevelType w:val="multilevel"/>
    <w:tmpl w:val="7D3656B5"/>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num>
  <w:num w:numId="2">
    <w:abstractNumId w:val="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60"/>
    <w:rsid w:val="0013198C"/>
    <w:rsid w:val="001F7F02"/>
    <w:rsid w:val="002031BC"/>
    <w:rsid w:val="00227903"/>
    <w:rsid w:val="002342FC"/>
    <w:rsid w:val="00241E10"/>
    <w:rsid w:val="002B5280"/>
    <w:rsid w:val="0036632F"/>
    <w:rsid w:val="00496A16"/>
    <w:rsid w:val="004E777E"/>
    <w:rsid w:val="005429A0"/>
    <w:rsid w:val="005C7CBF"/>
    <w:rsid w:val="005F1195"/>
    <w:rsid w:val="00610B06"/>
    <w:rsid w:val="006371D2"/>
    <w:rsid w:val="0064206C"/>
    <w:rsid w:val="00656461"/>
    <w:rsid w:val="006E07B1"/>
    <w:rsid w:val="00751150"/>
    <w:rsid w:val="007628E3"/>
    <w:rsid w:val="00773A6D"/>
    <w:rsid w:val="007C23D4"/>
    <w:rsid w:val="007E7D71"/>
    <w:rsid w:val="00806EB8"/>
    <w:rsid w:val="0082184F"/>
    <w:rsid w:val="00833190"/>
    <w:rsid w:val="00861D45"/>
    <w:rsid w:val="0089164C"/>
    <w:rsid w:val="0089659A"/>
    <w:rsid w:val="008C4C25"/>
    <w:rsid w:val="009336F8"/>
    <w:rsid w:val="00AB7C60"/>
    <w:rsid w:val="00AF7092"/>
    <w:rsid w:val="00B030AA"/>
    <w:rsid w:val="00B26FED"/>
    <w:rsid w:val="00BD3889"/>
    <w:rsid w:val="00BF1C2D"/>
    <w:rsid w:val="00C8030F"/>
    <w:rsid w:val="00D43F87"/>
    <w:rsid w:val="00DA32E2"/>
    <w:rsid w:val="00DC3465"/>
    <w:rsid w:val="00E2643F"/>
    <w:rsid w:val="00E857CD"/>
    <w:rsid w:val="00F72807"/>
    <w:rsid w:val="00FA4599"/>
    <w:rsid w:val="00FA77B3"/>
    <w:rsid w:val="00FB65D6"/>
    <w:rsid w:val="035B1389"/>
    <w:rsid w:val="0C940ACC"/>
    <w:rsid w:val="1A1665ED"/>
    <w:rsid w:val="24AE434B"/>
    <w:rsid w:val="304227AC"/>
    <w:rsid w:val="36505C2E"/>
    <w:rsid w:val="3A6D40AA"/>
    <w:rsid w:val="3CC856FF"/>
    <w:rsid w:val="3F20088E"/>
    <w:rsid w:val="40E31917"/>
    <w:rsid w:val="425B08EF"/>
    <w:rsid w:val="5C734F14"/>
    <w:rsid w:val="5EBB69D9"/>
    <w:rsid w:val="618E5DF4"/>
    <w:rsid w:val="69013707"/>
    <w:rsid w:val="6AB86F98"/>
    <w:rsid w:val="6FA27FBA"/>
    <w:rsid w:val="6FB501EB"/>
    <w:rsid w:val="708C7873"/>
    <w:rsid w:val="75257987"/>
    <w:rsid w:val="784E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tabs>
        <w:tab w:val="decimal" w:pos="756"/>
      </w:tabs>
      <w:ind w:firstLine="420"/>
    </w:pPr>
    <w:rPr>
      <w:rFonts w:hAnsi="宋体"/>
      <w:szCs w:val="20"/>
    </w:rPr>
  </w:style>
  <w:style w:type="paragraph" w:styleId="3">
    <w:name w:val="Plain Text"/>
    <w:basedOn w:val="1"/>
    <w:qFormat/>
    <w:uiPriority w:val="0"/>
    <w:rPr>
      <w:rFonts w:ascii="宋体" w:hAnsi="Courier New"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qFormat/>
    <w:uiPriority w:val="20"/>
    <w:rPr>
      <w:color w:val="CC0000"/>
      <w:sz w:val="24"/>
      <w:szCs w:val="24"/>
    </w:rPr>
  </w:style>
  <w:style w:type="character" w:styleId="10">
    <w:name w:val="Hyperlink"/>
    <w:qFormat/>
    <w:uiPriority w:val="99"/>
    <w:rPr>
      <w:color w:val="136EC2"/>
      <w:u w:val="single"/>
    </w:rPr>
  </w:style>
  <w:style w:type="paragraph" w:styleId="12">
    <w:name w:val="List Paragraph"/>
    <w:basedOn w:val="1"/>
    <w:qFormat/>
    <w:uiPriority w:val="34"/>
    <w:pPr>
      <w:ind w:firstLine="420" w:firstLineChars="200"/>
    </w:pPr>
  </w:style>
  <w:style w:type="character" w:customStyle="1" w:styleId="13">
    <w:name w:val="页眉 Char"/>
    <w:basedOn w:val="7"/>
    <w:link w:val="6"/>
    <w:qFormat/>
    <w:uiPriority w:val="99"/>
    <w:rPr>
      <w:sz w:val="18"/>
      <w:szCs w:val="18"/>
    </w:rPr>
  </w:style>
  <w:style w:type="character" w:customStyle="1" w:styleId="14">
    <w:name w:val="页脚 Char"/>
    <w:basedOn w:val="7"/>
    <w:link w:val="5"/>
    <w:qFormat/>
    <w:uiPriority w:val="99"/>
    <w:rPr>
      <w:sz w:val="18"/>
      <w:szCs w:val="18"/>
    </w:rPr>
  </w:style>
  <w:style w:type="character" w:customStyle="1" w:styleId="15">
    <w:name w:val="批注框文本 Char"/>
    <w:basedOn w:val="7"/>
    <w:link w:val="4"/>
    <w:semiHidden/>
    <w:qFormat/>
    <w:uiPriority w:val="99"/>
    <w:rPr>
      <w:sz w:val="18"/>
      <w:szCs w:val="18"/>
    </w:rPr>
  </w:style>
  <w:style w:type="paragraph" w:customStyle="1" w:styleId="16">
    <w:name w:val="表"/>
    <w:basedOn w:val="1"/>
    <w:qFormat/>
    <w:uiPriority w:val="0"/>
    <w:rPr>
      <w:rFonts w:eastAsia="楷体_GB2312"/>
      <w:b/>
    </w:rPr>
  </w:style>
  <w:style w:type="paragraph" w:customStyle="1" w:styleId="17">
    <w:name w:val="图表"/>
    <w:basedOn w:val="1"/>
    <w:qFormat/>
    <w:uiPriority w:val="0"/>
    <w:pPr>
      <w:outlineLvl w:val="5"/>
    </w:pPr>
  </w:style>
  <w:style w:type="character" w:customStyle="1" w:styleId="18">
    <w:name w:val="so-ask-best"/>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748EF-774E-4745-8116-9FB679DE376F}">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7250</Words>
  <Characters>41327</Characters>
  <Lines>344</Lines>
  <Paragraphs>96</Paragraphs>
  <TotalTime>298</TotalTime>
  <ScaleCrop>false</ScaleCrop>
  <LinksUpToDate>false</LinksUpToDate>
  <CharactersWithSpaces>48481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2018-11-26T00:24:00Z</dcterms:created>
  <dc:creator>mofcom</dc:creator>
  <cp:lastModifiedBy>Tony</cp:lastModifiedBy>
  <cp:lastPrinted>2019-01-07T02:13:00Z</cp:lastPrinted>
  <dcterms:modified xsi:type="dcterms:W3CDTF">2019-01-22T05:39:33Z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